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702E" w:rsidRPr="00681652" w:rsidRDefault="00BC702E" w:rsidP="00BC702E">
      <w:pPr>
        <w:spacing w:after="0" w:line="240" w:lineRule="auto"/>
        <w:rPr>
          <w:b/>
          <w:sz w:val="22"/>
          <w:szCs w:val="22"/>
        </w:rPr>
      </w:pPr>
      <w:r>
        <w:rPr>
          <w:b/>
          <w:sz w:val="22"/>
          <w:szCs w:val="22"/>
        </w:rPr>
        <w:t xml:space="preserve">SGX-ST </w:t>
      </w:r>
      <w:r w:rsidRPr="00681652">
        <w:rPr>
          <w:b/>
          <w:sz w:val="22"/>
          <w:szCs w:val="22"/>
        </w:rPr>
        <w:t xml:space="preserve">Practice Note </w:t>
      </w:r>
      <w:proofErr w:type="gramStart"/>
      <w:r w:rsidRPr="00BC702E">
        <w:rPr>
          <w:b/>
          <w:sz w:val="22"/>
          <w:szCs w:val="22"/>
        </w:rPr>
        <w:t>4.6.7A(</w:t>
      </w:r>
      <w:proofErr w:type="gramEnd"/>
      <w:r w:rsidRPr="00BC702E">
        <w:rPr>
          <w:b/>
          <w:sz w:val="22"/>
          <w:szCs w:val="22"/>
        </w:rPr>
        <w:t>1)(b) — Pre-Execution Checks</w:t>
      </w:r>
    </w:p>
    <w:p w:rsidR="00BC702E" w:rsidRDefault="00BC702E" w:rsidP="00BC702E">
      <w:pPr>
        <w:spacing w:after="0" w:line="240" w:lineRule="auto"/>
        <w:rPr>
          <w:sz w:val="22"/>
          <w:szCs w:val="22"/>
        </w:rPr>
      </w:pP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BC702E" w:rsidRPr="00681652" w:rsidTr="00004489">
        <w:tc>
          <w:tcPr>
            <w:tcW w:w="2535" w:type="dxa"/>
            <w:shd w:val="clear" w:color="auto" w:fill="D9D9D9" w:themeFill="background1" w:themeFillShade="D9"/>
          </w:tcPr>
          <w:p w:rsidR="00BC702E" w:rsidRPr="00681652" w:rsidRDefault="00BC702E" w:rsidP="00004489">
            <w:pPr>
              <w:rPr>
                <w:b/>
                <w:sz w:val="22"/>
                <w:szCs w:val="22"/>
              </w:rPr>
            </w:pPr>
            <w:r w:rsidRPr="00681652">
              <w:rPr>
                <w:b/>
                <w:sz w:val="22"/>
                <w:szCs w:val="22"/>
              </w:rPr>
              <w:t>Issue Date</w:t>
            </w:r>
          </w:p>
        </w:tc>
        <w:tc>
          <w:tcPr>
            <w:tcW w:w="2535" w:type="dxa"/>
            <w:shd w:val="clear" w:color="auto" w:fill="D9D9D9" w:themeFill="background1" w:themeFillShade="D9"/>
          </w:tcPr>
          <w:p w:rsidR="00BC702E" w:rsidRPr="00681652" w:rsidRDefault="00BC702E" w:rsidP="00004489">
            <w:pPr>
              <w:rPr>
                <w:b/>
                <w:sz w:val="22"/>
                <w:szCs w:val="22"/>
              </w:rPr>
            </w:pPr>
            <w:r w:rsidRPr="00681652">
              <w:rPr>
                <w:b/>
                <w:sz w:val="22"/>
                <w:szCs w:val="22"/>
              </w:rPr>
              <w:t>Cross Reference</w:t>
            </w:r>
          </w:p>
        </w:tc>
        <w:tc>
          <w:tcPr>
            <w:tcW w:w="4173" w:type="dxa"/>
            <w:shd w:val="clear" w:color="auto" w:fill="D9D9D9" w:themeFill="background1" w:themeFillShade="D9"/>
          </w:tcPr>
          <w:p w:rsidR="00BC702E" w:rsidRPr="00681652" w:rsidRDefault="00BC702E" w:rsidP="00004489">
            <w:pPr>
              <w:rPr>
                <w:b/>
                <w:sz w:val="22"/>
                <w:szCs w:val="22"/>
              </w:rPr>
            </w:pPr>
            <w:r w:rsidRPr="00681652">
              <w:rPr>
                <w:b/>
                <w:sz w:val="22"/>
                <w:szCs w:val="22"/>
              </w:rPr>
              <w:t>Enquiries</w:t>
            </w:r>
          </w:p>
        </w:tc>
      </w:tr>
      <w:tr w:rsidR="00BC702E" w:rsidTr="00004489">
        <w:tc>
          <w:tcPr>
            <w:tcW w:w="2535" w:type="dxa"/>
          </w:tcPr>
          <w:p w:rsidR="00BC702E" w:rsidRPr="00681652" w:rsidRDefault="00BC702E" w:rsidP="00004489">
            <w:pPr>
              <w:rPr>
                <w:sz w:val="22"/>
                <w:szCs w:val="22"/>
              </w:rPr>
            </w:pPr>
            <w:r w:rsidRPr="00681652">
              <w:rPr>
                <w:sz w:val="22"/>
                <w:szCs w:val="22"/>
              </w:rPr>
              <w:t>Added on</w:t>
            </w:r>
            <w:r w:rsidR="00E84940">
              <w:rPr>
                <w:sz w:val="22"/>
                <w:szCs w:val="22"/>
              </w:rPr>
              <w:t xml:space="preserve"> </w:t>
            </w:r>
            <w:r w:rsidRPr="00677620">
              <w:rPr>
                <w:sz w:val="22"/>
                <w:szCs w:val="22"/>
              </w:rPr>
              <w:t>18 September 2012</w:t>
            </w:r>
          </w:p>
          <w:p w:rsidR="00BC702E" w:rsidRPr="00F34714" w:rsidRDefault="00677620" w:rsidP="00E84940">
            <w:pPr>
              <w:rPr>
                <w:sz w:val="22"/>
                <w:szCs w:val="22"/>
                <w:u w:val="single"/>
              </w:rPr>
            </w:pPr>
            <w:r>
              <w:rPr>
                <w:color w:val="0070C0"/>
                <w:sz w:val="22"/>
                <w:szCs w:val="22"/>
                <w:u w:val="single"/>
              </w:rPr>
              <w:t xml:space="preserve">and amended on </w:t>
            </w:r>
            <w:bookmarkStart w:id="0" w:name="_GoBack"/>
            <w:bookmarkEnd w:id="0"/>
            <w:r w:rsidR="00E84940">
              <w:rPr>
                <w:color w:val="0070C0"/>
                <w:sz w:val="22"/>
                <w:szCs w:val="22"/>
                <w:u w:val="single"/>
              </w:rPr>
              <w:t>15 March 2013</w:t>
            </w:r>
          </w:p>
        </w:tc>
        <w:tc>
          <w:tcPr>
            <w:tcW w:w="2535" w:type="dxa"/>
          </w:tcPr>
          <w:p w:rsidR="00BC702E" w:rsidRDefault="00BC702E" w:rsidP="00004489">
            <w:pPr>
              <w:rPr>
                <w:sz w:val="22"/>
                <w:szCs w:val="22"/>
              </w:rPr>
            </w:pPr>
            <w:r w:rsidRPr="00BC702E">
              <w:rPr>
                <w:sz w:val="22"/>
                <w:szCs w:val="22"/>
              </w:rPr>
              <w:t>Rule 4.6.7A(1)(b)</w:t>
            </w:r>
          </w:p>
        </w:tc>
        <w:tc>
          <w:tcPr>
            <w:tcW w:w="4173" w:type="dxa"/>
          </w:tcPr>
          <w:p w:rsidR="00BC702E" w:rsidRPr="00681652" w:rsidRDefault="00BC702E" w:rsidP="00004489">
            <w:pPr>
              <w:rPr>
                <w:sz w:val="22"/>
                <w:szCs w:val="22"/>
              </w:rPr>
            </w:pPr>
            <w:r w:rsidRPr="00681652">
              <w:rPr>
                <w:sz w:val="22"/>
                <w:szCs w:val="22"/>
              </w:rPr>
              <w:t>Please contact Member Supervision:</w:t>
            </w:r>
          </w:p>
          <w:p w:rsidR="00BC702E" w:rsidRPr="00681652" w:rsidRDefault="00BC702E" w:rsidP="00004489">
            <w:pPr>
              <w:rPr>
                <w:sz w:val="22"/>
                <w:szCs w:val="22"/>
              </w:rPr>
            </w:pPr>
          </w:p>
          <w:p w:rsidR="00BC702E" w:rsidRPr="00681652" w:rsidRDefault="00BC702E" w:rsidP="00004489">
            <w:pPr>
              <w:rPr>
                <w:sz w:val="22"/>
                <w:szCs w:val="22"/>
              </w:rPr>
            </w:pPr>
            <w:r w:rsidRPr="00681652">
              <w:rPr>
                <w:sz w:val="22"/>
                <w:szCs w:val="22"/>
              </w:rPr>
              <w:t>Facsimile No : 6538 8273</w:t>
            </w:r>
          </w:p>
          <w:p w:rsidR="00BC702E" w:rsidRDefault="00BC702E" w:rsidP="00004489">
            <w:pPr>
              <w:rPr>
                <w:sz w:val="22"/>
                <w:szCs w:val="22"/>
              </w:rPr>
            </w:pPr>
            <w:r w:rsidRPr="00681652">
              <w:rPr>
                <w:sz w:val="22"/>
                <w:szCs w:val="22"/>
              </w:rPr>
              <w:t>E-Mail Address: membersup@sgx.com</w:t>
            </w:r>
          </w:p>
        </w:tc>
      </w:tr>
    </w:tbl>
    <w:p w:rsidR="00BC702E" w:rsidRDefault="00BC702E" w:rsidP="00BC702E">
      <w:pPr>
        <w:spacing w:after="0" w:line="240" w:lineRule="auto"/>
        <w:rPr>
          <w:sz w:val="22"/>
          <w:szCs w:val="22"/>
        </w:rPr>
      </w:pPr>
    </w:p>
    <w:p w:rsidR="00BC702E" w:rsidRPr="00681652" w:rsidRDefault="00BC702E" w:rsidP="00BC702E">
      <w:pPr>
        <w:spacing w:after="0" w:line="240" w:lineRule="auto"/>
        <w:rPr>
          <w:b/>
          <w:sz w:val="22"/>
          <w:szCs w:val="22"/>
        </w:rPr>
      </w:pPr>
      <w:r w:rsidRPr="00681652">
        <w:rPr>
          <w:b/>
          <w:sz w:val="22"/>
          <w:szCs w:val="22"/>
        </w:rPr>
        <w:t xml:space="preserve">1. Introduction </w:t>
      </w:r>
    </w:p>
    <w:p w:rsidR="00BC702E" w:rsidRDefault="00BC702E" w:rsidP="00CB0C47">
      <w:pPr>
        <w:spacing w:after="0" w:line="240" w:lineRule="auto"/>
        <w:rPr>
          <w:sz w:val="22"/>
          <w:szCs w:val="22"/>
        </w:rPr>
      </w:pPr>
    </w:p>
    <w:p w:rsidR="00BC702E" w:rsidRPr="00BC702E" w:rsidRDefault="00BC702E" w:rsidP="00BC702E">
      <w:pPr>
        <w:spacing w:after="0" w:line="240" w:lineRule="auto"/>
        <w:rPr>
          <w:sz w:val="22"/>
          <w:szCs w:val="22"/>
        </w:rPr>
      </w:pPr>
      <w:r w:rsidRPr="00BC702E">
        <w:rPr>
          <w:sz w:val="22"/>
          <w:szCs w:val="22"/>
        </w:rPr>
        <w:t xml:space="preserve">1.1 This Practice Note explains the parameters and functions which pre-execution checks may contain as contemplated in Rule </w:t>
      </w:r>
      <w:proofErr w:type="gramStart"/>
      <w:r w:rsidRPr="00BC702E">
        <w:rPr>
          <w:sz w:val="22"/>
          <w:szCs w:val="22"/>
        </w:rPr>
        <w:t>4.6.7A(</w:t>
      </w:r>
      <w:proofErr w:type="gramEnd"/>
      <w:r w:rsidRPr="00BC702E">
        <w:rPr>
          <w:sz w:val="22"/>
          <w:szCs w:val="22"/>
        </w:rPr>
        <w:t>1)(b).</w:t>
      </w:r>
    </w:p>
    <w:p w:rsidR="00BC702E" w:rsidRPr="00BC702E" w:rsidRDefault="00BC702E" w:rsidP="00BC702E">
      <w:pPr>
        <w:spacing w:after="0" w:line="240" w:lineRule="auto"/>
        <w:rPr>
          <w:sz w:val="22"/>
          <w:szCs w:val="22"/>
        </w:rPr>
      </w:pPr>
      <w:r w:rsidRPr="00BC702E">
        <w:rPr>
          <w:sz w:val="22"/>
          <w:szCs w:val="22"/>
        </w:rPr>
        <w:t xml:space="preserve"> </w:t>
      </w:r>
    </w:p>
    <w:p w:rsidR="00BC702E" w:rsidRPr="00BC702E" w:rsidRDefault="00BC702E" w:rsidP="00BC702E">
      <w:pPr>
        <w:spacing w:after="0" w:line="240" w:lineRule="auto"/>
        <w:rPr>
          <w:b/>
          <w:sz w:val="22"/>
          <w:szCs w:val="22"/>
        </w:rPr>
      </w:pPr>
      <w:r w:rsidRPr="00BC702E">
        <w:rPr>
          <w:b/>
          <w:sz w:val="22"/>
          <w:szCs w:val="22"/>
        </w:rPr>
        <w:t xml:space="preserve">2. Pre-Execution Checks </w:t>
      </w:r>
    </w:p>
    <w:p w:rsidR="00BC702E" w:rsidRPr="00BC702E" w:rsidRDefault="00BC702E" w:rsidP="00BC702E">
      <w:pPr>
        <w:spacing w:after="0" w:line="240" w:lineRule="auto"/>
        <w:rPr>
          <w:sz w:val="22"/>
          <w:szCs w:val="22"/>
        </w:rPr>
      </w:pPr>
    </w:p>
    <w:p w:rsidR="00BC702E" w:rsidRDefault="00BC702E" w:rsidP="00BC702E">
      <w:pPr>
        <w:spacing w:after="0" w:line="240" w:lineRule="auto"/>
        <w:rPr>
          <w:sz w:val="22"/>
          <w:szCs w:val="22"/>
        </w:rPr>
      </w:pPr>
      <w:r w:rsidRPr="00BC702E">
        <w:rPr>
          <w:sz w:val="22"/>
          <w:szCs w:val="22"/>
        </w:rPr>
        <w:t xml:space="preserve">2.1 Rule </w:t>
      </w:r>
      <w:proofErr w:type="gramStart"/>
      <w:r w:rsidRPr="00BC702E">
        <w:rPr>
          <w:sz w:val="22"/>
          <w:szCs w:val="22"/>
        </w:rPr>
        <w:t>4.6.7A(</w:t>
      </w:r>
      <w:proofErr w:type="gramEnd"/>
      <w:r w:rsidRPr="00BC702E">
        <w:rPr>
          <w:sz w:val="22"/>
          <w:szCs w:val="22"/>
        </w:rPr>
        <w:t>1)(b) requires Trading Members to ensure that automated pre-execution risk management control checks are conducted on all orders, including credit control checks on all customer orders. The purpose of this is to prevent overtrading. The parameters of such pre-execution checks and filters may include but are not limited to:—</w:t>
      </w:r>
    </w:p>
    <w:p w:rsidR="00BC702E" w:rsidRPr="00BC702E" w:rsidRDefault="00BC702E" w:rsidP="00BC702E">
      <w:pPr>
        <w:spacing w:after="0" w:line="240" w:lineRule="auto"/>
        <w:rPr>
          <w:sz w:val="22"/>
          <w:szCs w:val="22"/>
        </w:rPr>
      </w:pPr>
    </w:p>
    <w:p w:rsidR="00BC702E" w:rsidRPr="00BC702E" w:rsidRDefault="00BC702E" w:rsidP="00BC702E">
      <w:pPr>
        <w:spacing w:after="0" w:line="240" w:lineRule="auto"/>
        <w:rPr>
          <w:sz w:val="22"/>
          <w:szCs w:val="22"/>
        </w:rPr>
      </w:pPr>
      <w:r w:rsidRPr="00BC702E">
        <w:rPr>
          <w:sz w:val="22"/>
          <w:szCs w:val="22"/>
        </w:rPr>
        <w:t xml:space="preserve">(a) </w:t>
      </w:r>
      <w:proofErr w:type="gramStart"/>
      <w:r w:rsidRPr="00BC702E">
        <w:rPr>
          <w:sz w:val="22"/>
          <w:szCs w:val="22"/>
        </w:rPr>
        <w:t>dollar</w:t>
      </w:r>
      <w:proofErr w:type="gramEnd"/>
      <w:r w:rsidRPr="00BC702E">
        <w:rPr>
          <w:sz w:val="22"/>
          <w:szCs w:val="22"/>
        </w:rPr>
        <w:t xml:space="preserve"> limit to control the gross buy and sell value and/or net buy/sell value. This limit may be applied to an individual customer, a Trading Representative, a group of related accounts or a proprietary account;</w:t>
      </w:r>
    </w:p>
    <w:p w:rsidR="00BC702E" w:rsidRPr="00BC702E" w:rsidRDefault="00BC702E" w:rsidP="00BC702E">
      <w:pPr>
        <w:spacing w:after="0" w:line="240" w:lineRule="auto"/>
        <w:rPr>
          <w:sz w:val="22"/>
          <w:szCs w:val="22"/>
        </w:rPr>
      </w:pPr>
    </w:p>
    <w:p w:rsidR="00BC702E" w:rsidRPr="00BC702E" w:rsidRDefault="00BC702E" w:rsidP="00BC702E">
      <w:pPr>
        <w:spacing w:after="0" w:line="240" w:lineRule="auto"/>
        <w:rPr>
          <w:sz w:val="22"/>
          <w:szCs w:val="22"/>
        </w:rPr>
      </w:pPr>
      <w:r w:rsidRPr="00BC702E">
        <w:rPr>
          <w:sz w:val="22"/>
          <w:szCs w:val="22"/>
        </w:rPr>
        <w:t xml:space="preserve">(b) </w:t>
      </w:r>
      <w:proofErr w:type="gramStart"/>
      <w:r w:rsidRPr="00BC702E">
        <w:rPr>
          <w:sz w:val="22"/>
          <w:szCs w:val="22"/>
        </w:rPr>
        <w:t>security</w:t>
      </w:r>
      <w:proofErr w:type="gramEnd"/>
      <w:r w:rsidRPr="00BC702E">
        <w:rPr>
          <w:sz w:val="22"/>
          <w:szCs w:val="22"/>
        </w:rPr>
        <w:t xml:space="preserve"> limit to control the dollar/quantity exposure to each security. This limit may be used to control concentration risk for each customer and for the Trading Member's accounts as a whole on a per-security basis;</w:t>
      </w:r>
    </w:p>
    <w:p w:rsidR="00BC702E" w:rsidRPr="00BC702E" w:rsidRDefault="00BC702E" w:rsidP="00BC702E">
      <w:pPr>
        <w:spacing w:after="0" w:line="240" w:lineRule="auto"/>
        <w:rPr>
          <w:sz w:val="22"/>
          <w:szCs w:val="22"/>
        </w:rPr>
      </w:pPr>
    </w:p>
    <w:p w:rsidR="00BC702E" w:rsidRPr="00BC702E" w:rsidRDefault="00BC702E" w:rsidP="00BC702E">
      <w:pPr>
        <w:spacing w:after="0" w:line="240" w:lineRule="auto"/>
        <w:rPr>
          <w:sz w:val="22"/>
          <w:szCs w:val="22"/>
        </w:rPr>
      </w:pPr>
      <w:proofErr w:type="gramStart"/>
      <w:r w:rsidRPr="00BC702E">
        <w:rPr>
          <w:sz w:val="22"/>
          <w:szCs w:val="22"/>
        </w:rPr>
        <w:t>(c) dollar/quantity</w:t>
      </w:r>
      <w:proofErr w:type="gramEnd"/>
      <w:r w:rsidRPr="00BC702E">
        <w:rPr>
          <w:sz w:val="22"/>
          <w:szCs w:val="22"/>
        </w:rPr>
        <w:t xml:space="preserve"> limit and price limit for each order. This allows for the detection of errors in inputting orders. For example, if a customer or Trading Representative were to enter an unusually large sized order or an order at a price that is far from the prevailing price, they could be alerted for confirmation of the order before it is accepted by the system; and</w:t>
      </w:r>
    </w:p>
    <w:p w:rsidR="00BC702E" w:rsidRPr="00BC702E" w:rsidRDefault="00BC702E" w:rsidP="00BC702E">
      <w:pPr>
        <w:spacing w:after="0" w:line="240" w:lineRule="auto"/>
        <w:rPr>
          <w:sz w:val="22"/>
          <w:szCs w:val="22"/>
        </w:rPr>
      </w:pPr>
    </w:p>
    <w:p w:rsidR="00BC702E" w:rsidRPr="00BC702E" w:rsidRDefault="00BC702E" w:rsidP="00BC702E">
      <w:pPr>
        <w:spacing w:after="0" w:line="240" w:lineRule="auto"/>
        <w:rPr>
          <w:sz w:val="22"/>
          <w:szCs w:val="22"/>
        </w:rPr>
      </w:pPr>
      <w:r w:rsidRPr="00BC702E">
        <w:rPr>
          <w:sz w:val="22"/>
          <w:szCs w:val="22"/>
        </w:rPr>
        <w:t xml:space="preserve">(d) </w:t>
      </w:r>
      <w:proofErr w:type="gramStart"/>
      <w:r w:rsidRPr="00BC702E">
        <w:rPr>
          <w:sz w:val="22"/>
          <w:szCs w:val="22"/>
        </w:rPr>
        <w:t>controls</w:t>
      </w:r>
      <w:proofErr w:type="gramEnd"/>
      <w:r w:rsidRPr="00BC702E">
        <w:rPr>
          <w:sz w:val="22"/>
          <w:szCs w:val="22"/>
        </w:rPr>
        <w:t xml:space="preserve"> to restrict customers to selected markets, order types and securities.</w:t>
      </w:r>
    </w:p>
    <w:p w:rsidR="00BC702E" w:rsidRPr="00BC702E" w:rsidRDefault="00BC702E" w:rsidP="00BC702E">
      <w:pPr>
        <w:spacing w:after="0" w:line="240" w:lineRule="auto"/>
        <w:rPr>
          <w:sz w:val="22"/>
          <w:szCs w:val="22"/>
        </w:rPr>
      </w:pPr>
      <w:r w:rsidRPr="00BC702E">
        <w:rPr>
          <w:sz w:val="22"/>
          <w:szCs w:val="22"/>
        </w:rPr>
        <w:t xml:space="preserve"> </w:t>
      </w:r>
    </w:p>
    <w:p w:rsidR="00BC702E" w:rsidRDefault="00BC702E" w:rsidP="00BC702E">
      <w:pPr>
        <w:spacing w:after="0" w:line="240" w:lineRule="auto"/>
        <w:rPr>
          <w:sz w:val="22"/>
          <w:szCs w:val="22"/>
        </w:rPr>
      </w:pPr>
      <w:r w:rsidRPr="00BC702E">
        <w:rPr>
          <w:sz w:val="22"/>
          <w:szCs w:val="22"/>
        </w:rPr>
        <w:t>2.2 By way of illustration, pre-execution risk management control functions may include the following:—</w:t>
      </w:r>
    </w:p>
    <w:p w:rsidR="00BC702E" w:rsidRPr="00BC702E" w:rsidRDefault="00BC702E" w:rsidP="00BC702E">
      <w:pPr>
        <w:spacing w:after="0" w:line="240" w:lineRule="auto"/>
        <w:rPr>
          <w:sz w:val="22"/>
          <w:szCs w:val="22"/>
        </w:rPr>
      </w:pPr>
    </w:p>
    <w:p w:rsidR="00BC702E" w:rsidRPr="00BC702E" w:rsidRDefault="00BC702E" w:rsidP="00BC702E">
      <w:pPr>
        <w:spacing w:after="0" w:line="240" w:lineRule="auto"/>
        <w:rPr>
          <w:sz w:val="22"/>
          <w:szCs w:val="22"/>
        </w:rPr>
      </w:pPr>
      <w:r w:rsidRPr="00BC702E">
        <w:rPr>
          <w:sz w:val="22"/>
          <w:szCs w:val="22"/>
        </w:rPr>
        <w:t xml:space="preserve">(a) </w:t>
      </w:r>
      <w:proofErr w:type="gramStart"/>
      <w:r w:rsidRPr="00BC702E">
        <w:rPr>
          <w:sz w:val="22"/>
          <w:szCs w:val="22"/>
        </w:rPr>
        <w:t>the</w:t>
      </w:r>
      <w:proofErr w:type="gramEnd"/>
      <w:r w:rsidRPr="00BC702E">
        <w:rPr>
          <w:sz w:val="22"/>
          <w:szCs w:val="22"/>
        </w:rPr>
        <w:t xml:space="preserve"> ability to adjust credit or quantity limits in real time during a trading session;</w:t>
      </w:r>
    </w:p>
    <w:p w:rsidR="00BC702E" w:rsidRPr="00BC702E" w:rsidRDefault="00BC702E" w:rsidP="00BC702E">
      <w:pPr>
        <w:spacing w:after="0" w:line="240" w:lineRule="auto"/>
        <w:rPr>
          <w:sz w:val="22"/>
          <w:szCs w:val="22"/>
        </w:rPr>
      </w:pPr>
    </w:p>
    <w:p w:rsidR="00BC702E" w:rsidRPr="00BC702E" w:rsidRDefault="00BC702E" w:rsidP="00BC702E">
      <w:pPr>
        <w:spacing w:after="0" w:line="240" w:lineRule="auto"/>
        <w:rPr>
          <w:sz w:val="22"/>
          <w:szCs w:val="22"/>
        </w:rPr>
      </w:pPr>
      <w:r w:rsidRPr="00BC702E">
        <w:rPr>
          <w:sz w:val="22"/>
          <w:szCs w:val="22"/>
        </w:rPr>
        <w:t xml:space="preserve">(b) </w:t>
      </w:r>
      <w:proofErr w:type="gramStart"/>
      <w:r w:rsidRPr="00BC702E">
        <w:rPr>
          <w:sz w:val="22"/>
          <w:szCs w:val="22"/>
        </w:rPr>
        <w:t>the</w:t>
      </w:r>
      <w:proofErr w:type="gramEnd"/>
      <w:r w:rsidRPr="00BC702E">
        <w:rPr>
          <w:sz w:val="22"/>
          <w:szCs w:val="22"/>
        </w:rPr>
        <w:t xml:space="preserve"> ability to set permission levels (e.g. access to selected products/ instruments) and revoke the access of a Trading Representative or customer on a real time basis; and</w:t>
      </w:r>
    </w:p>
    <w:p w:rsidR="00BC702E" w:rsidRPr="00BC702E" w:rsidRDefault="00BC702E" w:rsidP="00BC702E">
      <w:pPr>
        <w:spacing w:after="0" w:line="240" w:lineRule="auto"/>
        <w:rPr>
          <w:sz w:val="22"/>
          <w:szCs w:val="22"/>
        </w:rPr>
      </w:pPr>
    </w:p>
    <w:p w:rsidR="00BC702E" w:rsidRDefault="00BC702E" w:rsidP="00BC702E">
      <w:pPr>
        <w:spacing w:after="0" w:line="240" w:lineRule="auto"/>
        <w:rPr>
          <w:sz w:val="22"/>
          <w:szCs w:val="22"/>
        </w:rPr>
      </w:pPr>
      <w:r w:rsidRPr="00BC702E">
        <w:rPr>
          <w:sz w:val="22"/>
          <w:szCs w:val="22"/>
        </w:rPr>
        <w:t xml:space="preserve">(c) </w:t>
      </w:r>
      <w:proofErr w:type="gramStart"/>
      <w:r w:rsidRPr="00BC702E">
        <w:rPr>
          <w:sz w:val="22"/>
          <w:szCs w:val="22"/>
        </w:rPr>
        <w:t>the</w:t>
      </w:r>
      <w:proofErr w:type="gramEnd"/>
      <w:r w:rsidRPr="00BC702E">
        <w:rPr>
          <w:sz w:val="22"/>
          <w:szCs w:val="22"/>
        </w:rPr>
        <w:t xml:space="preserve"> ability to intercept orders that exceed credit or trading limits on a real-time basis and trigger error-prevention alerts.</w:t>
      </w:r>
    </w:p>
    <w:p w:rsidR="00BC702E" w:rsidRDefault="00BC702E" w:rsidP="00BC702E">
      <w:pPr>
        <w:spacing w:after="0" w:line="240" w:lineRule="auto"/>
        <w:rPr>
          <w:sz w:val="22"/>
          <w:szCs w:val="22"/>
        </w:rPr>
      </w:pPr>
    </w:p>
    <w:p w:rsidR="00BC702E" w:rsidRPr="0086525B" w:rsidRDefault="00BC702E" w:rsidP="00BC702E">
      <w:pPr>
        <w:spacing w:after="0" w:line="240" w:lineRule="auto"/>
        <w:rPr>
          <w:color w:val="0070C0"/>
          <w:sz w:val="22"/>
          <w:szCs w:val="22"/>
          <w:u w:val="single"/>
        </w:rPr>
      </w:pPr>
      <w:r w:rsidRPr="0086525B">
        <w:rPr>
          <w:color w:val="0070C0"/>
          <w:sz w:val="22"/>
          <w:szCs w:val="22"/>
          <w:u w:val="single"/>
        </w:rPr>
        <w:t xml:space="preserve">2.3 Trading Members who </w:t>
      </w:r>
      <w:proofErr w:type="spellStart"/>
      <w:r w:rsidRPr="0086525B">
        <w:rPr>
          <w:color w:val="0070C0"/>
          <w:sz w:val="22"/>
          <w:szCs w:val="22"/>
          <w:u w:val="single"/>
        </w:rPr>
        <w:t>authorise</w:t>
      </w:r>
      <w:proofErr w:type="spellEnd"/>
      <w:r w:rsidRPr="0086525B">
        <w:rPr>
          <w:color w:val="0070C0"/>
          <w:sz w:val="22"/>
          <w:szCs w:val="22"/>
          <w:u w:val="single"/>
        </w:rPr>
        <w:t xml:space="preserve"> Sponsored Access will be able to meet the requirement in Rule </w:t>
      </w:r>
      <w:proofErr w:type="gramStart"/>
      <w:r w:rsidR="00373B5F" w:rsidRPr="0086525B">
        <w:rPr>
          <w:color w:val="0070C0"/>
          <w:sz w:val="22"/>
          <w:szCs w:val="22"/>
          <w:u w:val="single"/>
        </w:rPr>
        <w:t>4.6.7A(</w:t>
      </w:r>
      <w:proofErr w:type="gramEnd"/>
      <w:r w:rsidR="00373B5F" w:rsidRPr="0086525B">
        <w:rPr>
          <w:color w:val="0070C0"/>
          <w:sz w:val="22"/>
          <w:szCs w:val="22"/>
          <w:u w:val="single"/>
        </w:rPr>
        <w:t xml:space="preserve">1)(b) </w:t>
      </w:r>
      <w:r w:rsidRPr="0086525B">
        <w:rPr>
          <w:color w:val="0070C0"/>
          <w:sz w:val="22"/>
          <w:szCs w:val="22"/>
          <w:u w:val="single"/>
        </w:rPr>
        <w:t>by being able to directly set and control pre-determined automated limits in the Sponsored Access customer’s system, having automated alerts whenever such limits are altered, and by conducting regular post-execution reviews of trades.  Trading Members should assess and continue to ensure that the pre-execution risk management control checks are robust on an ongoing basis.</w:t>
      </w:r>
    </w:p>
    <w:p w:rsidR="00BC702E" w:rsidRPr="0086525B" w:rsidRDefault="00BC702E" w:rsidP="00BC702E">
      <w:pPr>
        <w:spacing w:after="0" w:line="240" w:lineRule="auto"/>
        <w:rPr>
          <w:color w:val="0070C0"/>
          <w:sz w:val="22"/>
          <w:szCs w:val="22"/>
          <w:u w:val="single"/>
        </w:rPr>
      </w:pPr>
    </w:p>
    <w:p w:rsidR="00BC702E" w:rsidRDefault="00BC702E" w:rsidP="00BC702E">
      <w:pPr>
        <w:spacing w:after="0" w:line="240" w:lineRule="auto"/>
        <w:rPr>
          <w:color w:val="0070C0"/>
          <w:sz w:val="22"/>
          <w:szCs w:val="22"/>
          <w:u w:val="single"/>
        </w:rPr>
      </w:pPr>
      <w:r w:rsidRPr="0086525B">
        <w:rPr>
          <w:color w:val="0070C0"/>
          <w:sz w:val="22"/>
          <w:szCs w:val="22"/>
          <w:u w:val="single"/>
        </w:rPr>
        <w:lastRenderedPageBreak/>
        <w:t xml:space="preserve">2.4 Where a Trading Member has allowed its Clearing Member to directly set and control pre-determined automated limits in the Trading Member’s system, the Trading Member should have the appropriate internal controls to prevent </w:t>
      </w:r>
      <w:proofErr w:type="spellStart"/>
      <w:r w:rsidRPr="0086525B">
        <w:rPr>
          <w:color w:val="0070C0"/>
          <w:sz w:val="22"/>
          <w:szCs w:val="22"/>
          <w:u w:val="single"/>
        </w:rPr>
        <w:t>unauthorised</w:t>
      </w:r>
      <w:proofErr w:type="spellEnd"/>
      <w:r w:rsidRPr="0086525B">
        <w:rPr>
          <w:color w:val="0070C0"/>
          <w:sz w:val="22"/>
          <w:szCs w:val="22"/>
          <w:u w:val="single"/>
        </w:rPr>
        <w:t xml:space="preserve"> modification of the limits set by the Clearing Member.</w:t>
      </w:r>
    </w:p>
    <w:p w:rsidR="0086525B" w:rsidRDefault="0086525B">
      <w:pPr>
        <w:rPr>
          <w:sz w:val="22"/>
          <w:szCs w:val="22"/>
        </w:rPr>
      </w:pPr>
    </w:p>
    <w:p w:rsidR="00BD3E20" w:rsidRDefault="00BD3E20">
      <w:pPr>
        <w:rPr>
          <w:sz w:val="22"/>
          <w:szCs w:val="22"/>
        </w:rPr>
      </w:pPr>
      <w:r>
        <w:rPr>
          <w:sz w:val="22"/>
          <w:szCs w:val="22"/>
        </w:rPr>
        <w:br w:type="page"/>
      </w:r>
    </w:p>
    <w:p w:rsidR="00BD3E20" w:rsidRPr="00BD3E20" w:rsidRDefault="00BD3E20">
      <w:pPr>
        <w:rPr>
          <w:b/>
          <w:sz w:val="22"/>
          <w:szCs w:val="22"/>
        </w:rPr>
      </w:pPr>
      <w:r w:rsidRPr="00BD3E20">
        <w:rPr>
          <w:b/>
          <w:sz w:val="22"/>
          <w:szCs w:val="22"/>
        </w:rPr>
        <w:lastRenderedPageBreak/>
        <w:t xml:space="preserve">Practice Note </w:t>
      </w:r>
      <w:proofErr w:type="gramStart"/>
      <w:r w:rsidRPr="00BD3E20">
        <w:rPr>
          <w:b/>
          <w:sz w:val="22"/>
          <w:szCs w:val="22"/>
        </w:rPr>
        <w:t>4.6.7A</w:t>
      </w:r>
      <w:r w:rsidRPr="00BD3E20">
        <w:rPr>
          <w:b/>
          <w:color w:val="0070C0"/>
          <w:sz w:val="22"/>
          <w:szCs w:val="22"/>
          <w:u w:val="single"/>
        </w:rPr>
        <w:t>(</w:t>
      </w:r>
      <w:proofErr w:type="gramEnd"/>
      <w:r w:rsidRPr="00BD3E20">
        <w:rPr>
          <w:b/>
          <w:color w:val="0070C0"/>
          <w:sz w:val="22"/>
          <w:szCs w:val="22"/>
          <w:u w:val="single"/>
        </w:rPr>
        <w:t>2)</w:t>
      </w:r>
      <w:r w:rsidRPr="00BD3E20">
        <w:rPr>
          <w:b/>
          <w:strike/>
          <w:color w:val="0070C0"/>
          <w:sz w:val="22"/>
          <w:szCs w:val="22"/>
        </w:rPr>
        <w:t>(3)</w:t>
      </w:r>
      <w:r w:rsidRPr="00BD3E20">
        <w:rPr>
          <w:b/>
          <w:sz w:val="22"/>
          <w:szCs w:val="22"/>
        </w:rPr>
        <w:t xml:space="preserve"> — Firm-Level Monitoring of Capital and Financial Requirements and Prudential Limits</w:t>
      </w:r>
    </w:p>
    <w:tbl>
      <w:tblPr>
        <w:tblStyle w:val="TableGrid"/>
        <w:tblW w:w="0" w:type="auto"/>
        <w:tblCellMar>
          <w:top w:w="57" w:type="dxa"/>
          <w:bottom w:w="57" w:type="dxa"/>
        </w:tblCellMar>
        <w:tblLook w:val="04A0" w:firstRow="1" w:lastRow="0" w:firstColumn="1" w:lastColumn="0" w:noHBand="0" w:noVBand="1"/>
      </w:tblPr>
      <w:tblGrid>
        <w:gridCol w:w="2535"/>
        <w:gridCol w:w="2535"/>
        <w:gridCol w:w="4173"/>
      </w:tblGrid>
      <w:tr w:rsidR="00682392" w:rsidRPr="00681652" w:rsidTr="00C633B0">
        <w:tc>
          <w:tcPr>
            <w:tcW w:w="2535" w:type="dxa"/>
            <w:shd w:val="clear" w:color="auto" w:fill="D9D9D9" w:themeFill="background1" w:themeFillShade="D9"/>
          </w:tcPr>
          <w:p w:rsidR="00682392" w:rsidRPr="00681652" w:rsidRDefault="00682392" w:rsidP="00C633B0">
            <w:pPr>
              <w:rPr>
                <w:b/>
                <w:sz w:val="22"/>
                <w:szCs w:val="22"/>
              </w:rPr>
            </w:pPr>
            <w:r w:rsidRPr="00681652">
              <w:rPr>
                <w:b/>
                <w:sz w:val="22"/>
                <w:szCs w:val="22"/>
              </w:rPr>
              <w:t>Issue Date</w:t>
            </w:r>
          </w:p>
        </w:tc>
        <w:tc>
          <w:tcPr>
            <w:tcW w:w="2535" w:type="dxa"/>
            <w:shd w:val="clear" w:color="auto" w:fill="D9D9D9" w:themeFill="background1" w:themeFillShade="D9"/>
          </w:tcPr>
          <w:p w:rsidR="00682392" w:rsidRPr="00681652" w:rsidRDefault="00682392" w:rsidP="00C633B0">
            <w:pPr>
              <w:rPr>
                <w:b/>
                <w:sz w:val="22"/>
                <w:szCs w:val="22"/>
              </w:rPr>
            </w:pPr>
            <w:r w:rsidRPr="00681652">
              <w:rPr>
                <w:b/>
                <w:sz w:val="22"/>
                <w:szCs w:val="22"/>
              </w:rPr>
              <w:t>Cross Reference</w:t>
            </w:r>
          </w:p>
        </w:tc>
        <w:tc>
          <w:tcPr>
            <w:tcW w:w="4173" w:type="dxa"/>
            <w:shd w:val="clear" w:color="auto" w:fill="D9D9D9" w:themeFill="background1" w:themeFillShade="D9"/>
          </w:tcPr>
          <w:p w:rsidR="00682392" w:rsidRPr="00681652" w:rsidRDefault="00682392" w:rsidP="00C633B0">
            <w:pPr>
              <w:rPr>
                <w:b/>
                <w:sz w:val="22"/>
                <w:szCs w:val="22"/>
              </w:rPr>
            </w:pPr>
            <w:r w:rsidRPr="00681652">
              <w:rPr>
                <w:b/>
                <w:sz w:val="22"/>
                <w:szCs w:val="22"/>
              </w:rPr>
              <w:t>Enquiries</w:t>
            </w:r>
          </w:p>
        </w:tc>
      </w:tr>
      <w:tr w:rsidR="00682392" w:rsidTr="00C633B0">
        <w:tc>
          <w:tcPr>
            <w:tcW w:w="2535" w:type="dxa"/>
          </w:tcPr>
          <w:p w:rsidR="00682392" w:rsidRPr="00F34714" w:rsidRDefault="00682392" w:rsidP="00682392">
            <w:pPr>
              <w:rPr>
                <w:sz w:val="22"/>
                <w:szCs w:val="22"/>
                <w:u w:val="single"/>
              </w:rPr>
            </w:pPr>
            <w:r w:rsidRPr="00682392">
              <w:rPr>
                <w:sz w:val="22"/>
                <w:szCs w:val="22"/>
              </w:rPr>
              <w:t>Added on 18 September 2012.</w:t>
            </w:r>
          </w:p>
          <w:p w:rsidR="00682392" w:rsidRPr="00F34714" w:rsidRDefault="00682392" w:rsidP="00C633B0">
            <w:pPr>
              <w:rPr>
                <w:sz w:val="22"/>
                <w:szCs w:val="22"/>
                <w:u w:val="single"/>
              </w:rPr>
            </w:pPr>
          </w:p>
        </w:tc>
        <w:tc>
          <w:tcPr>
            <w:tcW w:w="2535" w:type="dxa"/>
          </w:tcPr>
          <w:p w:rsidR="00682392" w:rsidRDefault="00682392" w:rsidP="00C633B0">
            <w:pPr>
              <w:rPr>
                <w:sz w:val="22"/>
                <w:szCs w:val="22"/>
              </w:rPr>
            </w:pPr>
            <w:r w:rsidRPr="00BC702E">
              <w:rPr>
                <w:sz w:val="22"/>
                <w:szCs w:val="22"/>
              </w:rPr>
              <w:t xml:space="preserve">Rule </w:t>
            </w:r>
            <w:r w:rsidRPr="00682392">
              <w:rPr>
                <w:sz w:val="22"/>
                <w:szCs w:val="22"/>
              </w:rPr>
              <w:t>4.6.7A</w:t>
            </w:r>
            <w:r w:rsidRPr="00682392">
              <w:rPr>
                <w:color w:val="0070C0"/>
                <w:sz w:val="22"/>
                <w:szCs w:val="22"/>
                <w:u w:val="single"/>
              </w:rPr>
              <w:t>(2)</w:t>
            </w:r>
            <w:r w:rsidRPr="00682392">
              <w:rPr>
                <w:strike/>
                <w:color w:val="0070C0"/>
                <w:sz w:val="22"/>
                <w:szCs w:val="22"/>
              </w:rPr>
              <w:t>(3)</w:t>
            </w:r>
          </w:p>
        </w:tc>
        <w:tc>
          <w:tcPr>
            <w:tcW w:w="4173" w:type="dxa"/>
          </w:tcPr>
          <w:p w:rsidR="00682392" w:rsidRPr="00681652" w:rsidRDefault="00682392" w:rsidP="00C633B0">
            <w:pPr>
              <w:rPr>
                <w:sz w:val="22"/>
                <w:szCs w:val="22"/>
              </w:rPr>
            </w:pPr>
            <w:r w:rsidRPr="00681652">
              <w:rPr>
                <w:sz w:val="22"/>
                <w:szCs w:val="22"/>
              </w:rPr>
              <w:t>Please contact Member Supervision:</w:t>
            </w:r>
          </w:p>
          <w:p w:rsidR="00682392" w:rsidRPr="00681652" w:rsidRDefault="00682392" w:rsidP="00C633B0">
            <w:pPr>
              <w:rPr>
                <w:sz w:val="22"/>
                <w:szCs w:val="22"/>
              </w:rPr>
            </w:pPr>
          </w:p>
          <w:p w:rsidR="00682392" w:rsidRPr="00681652" w:rsidRDefault="00682392" w:rsidP="00C633B0">
            <w:pPr>
              <w:rPr>
                <w:sz w:val="22"/>
                <w:szCs w:val="22"/>
              </w:rPr>
            </w:pPr>
            <w:r w:rsidRPr="00681652">
              <w:rPr>
                <w:sz w:val="22"/>
                <w:szCs w:val="22"/>
              </w:rPr>
              <w:t>Facsimile No : 6538 8273</w:t>
            </w:r>
          </w:p>
          <w:p w:rsidR="00682392" w:rsidRDefault="00682392" w:rsidP="00C633B0">
            <w:pPr>
              <w:rPr>
                <w:sz w:val="22"/>
                <w:szCs w:val="22"/>
              </w:rPr>
            </w:pPr>
            <w:r w:rsidRPr="00681652">
              <w:rPr>
                <w:sz w:val="22"/>
                <w:szCs w:val="22"/>
              </w:rPr>
              <w:t>E-Mail Address: membersup@sgx.com</w:t>
            </w:r>
          </w:p>
        </w:tc>
      </w:tr>
    </w:tbl>
    <w:p w:rsidR="00BD3E20" w:rsidRDefault="00BD3E20">
      <w:pPr>
        <w:rPr>
          <w:sz w:val="22"/>
          <w:szCs w:val="22"/>
        </w:rPr>
      </w:pPr>
    </w:p>
    <w:p w:rsidR="00682392" w:rsidRPr="00682392" w:rsidRDefault="00682392" w:rsidP="00682392">
      <w:pPr>
        <w:rPr>
          <w:b/>
          <w:sz w:val="22"/>
          <w:szCs w:val="22"/>
        </w:rPr>
      </w:pPr>
      <w:r w:rsidRPr="00682392">
        <w:rPr>
          <w:b/>
          <w:sz w:val="22"/>
          <w:szCs w:val="22"/>
        </w:rPr>
        <w:t xml:space="preserve">1. Introduction </w:t>
      </w:r>
    </w:p>
    <w:p w:rsidR="00682392" w:rsidRPr="00682392" w:rsidRDefault="00682392" w:rsidP="00682392">
      <w:pPr>
        <w:rPr>
          <w:sz w:val="22"/>
          <w:szCs w:val="22"/>
        </w:rPr>
      </w:pPr>
      <w:r w:rsidRPr="00682392">
        <w:rPr>
          <w:sz w:val="22"/>
          <w:szCs w:val="22"/>
        </w:rPr>
        <w:t>1.1 This Practice Note explains the requirement for monitoring potential breaches of capital and financial requirements and prudential limits on exposures to a single customer and a single security set out in Rule 4.6.7A</w:t>
      </w:r>
      <w:r w:rsidRPr="00682392">
        <w:rPr>
          <w:color w:val="0070C0"/>
          <w:sz w:val="22"/>
          <w:szCs w:val="22"/>
          <w:u w:val="single"/>
        </w:rPr>
        <w:t>(2)</w:t>
      </w:r>
      <w:r w:rsidRPr="00682392">
        <w:rPr>
          <w:strike/>
          <w:color w:val="0070C0"/>
          <w:sz w:val="22"/>
          <w:szCs w:val="22"/>
        </w:rPr>
        <w:t>(3)</w:t>
      </w:r>
      <w:r w:rsidRPr="00682392">
        <w:rPr>
          <w:sz w:val="22"/>
          <w:szCs w:val="22"/>
        </w:rPr>
        <w:t>.</w:t>
      </w:r>
    </w:p>
    <w:p w:rsidR="00682392" w:rsidRPr="00682392" w:rsidRDefault="00682392" w:rsidP="00682392">
      <w:pPr>
        <w:rPr>
          <w:sz w:val="22"/>
          <w:szCs w:val="22"/>
        </w:rPr>
      </w:pPr>
      <w:r w:rsidRPr="00682392">
        <w:rPr>
          <w:sz w:val="22"/>
          <w:szCs w:val="22"/>
        </w:rPr>
        <w:t xml:space="preserve"> </w:t>
      </w:r>
    </w:p>
    <w:p w:rsidR="00682392" w:rsidRPr="00682392" w:rsidRDefault="00682392" w:rsidP="00682392">
      <w:pPr>
        <w:rPr>
          <w:b/>
          <w:sz w:val="22"/>
          <w:szCs w:val="22"/>
        </w:rPr>
      </w:pPr>
      <w:r w:rsidRPr="00682392">
        <w:rPr>
          <w:b/>
          <w:sz w:val="22"/>
          <w:szCs w:val="22"/>
        </w:rPr>
        <w:t xml:space="preserve">2. Firm-Level Monitoring of Capital Requirements and Prudential Limits </w:t>
      </w:r>
    </w:p>
    <w:p w:rsidR="00682392" w:rsidRPr="00682392" w:rsidRDefault="00682392" w:rsidP="00682392">
      <w:pPr>
        <w:rPr>
          <w:sz w:val="22"/>
          <w:szCs w:val="22"/>
        </w:rPr>
      </w:pPr>
    </w:p>
    <w:p w:rsidR="00682392" w:rsidRPr="00682392" w:rsidRDefault="00682392" w:rsidP="00682392">
      <w:pPr>
        <w:rPr>
          <w:sz w:val="22"/>
          <w:szCs w:val="22"/>
        </w:rPr>
      </w:pPr>
      <w:r w:rsidRPr="00682392">
        <w:rPr>
          <w:sz w:val="22"/>
          <w:szCs w:val="22"/>
        </w:rPr>
        <w:t>2.1 In an electronic trading environment where orders are processed and routed at speed, Trading Members should use appropriate measures to monitor if the firm is at risk of breaching its capital or financial requirements or any prudential limits, for example:—</w:t>
      </w:r>
    </w:p>
    <w:p w:rsidR="00682392" w:rsidRPr="00682392" w:rsidRDefault="00682392" w:rsidP="00682392">
      <w:pPr>
        <w:rPr>
          <w:sz w:val="22"/>
          <w:szCs w:val="22"/>
        </w:rPr>
      </w:pPr>
      <w:r w:rsidRPr="00682392">
        <w:rPr>
          <w:sz w:val="22"/>
          <w:szCs w:val="22"/>
        </w:rPr>
        <w:t xml:space="preserve">(a) </w:t>
      </w:r>
      <w:proofErr w:type="gramStart"/>
      <w:r w:rsidRPr="00682392">
        <w:rPr>
          <w:sz w:val="22"/>
          <w:szCs w:val="22"/>
        </w:rPr>
        <w:t>setting</w:t>
      </w:r>
      <w:proofErr w:type="gramEnd"/>
      <w:r w:rsidRPr="00682392">
        <w:rPr>
          <w:sz w:val="22"/>
          <w:szCs w:val="22"/>
        </w:rPr>
        <w:t xml:space="preserve"> automated filters on firm-wide aggregated exposures;</w:t>
      </w:r>
    </w:p>
    <w:p w:rsidR="00682392" w:rsidRPr="00682392" w:rsidRDefault="00682392" w:rsidP="00682392">
      <w:pPr>
        <w:rPr>
          <w:sz w:val="22"/>
          <w:szCs w:val="22"/>
        </w:rPr>
      </w:pPr>
      <w:r w:rsidRPr="00682392">
        <w:rPr>
          <w:sz w:val="22"/>
          <w:szCs w:val="22"/>
        </w:rPr>
        <w:t xml:space="preserve">(b) </w:t>
      </w:r>
      <w:proofErr w:type="gramStart"/>
      <w:r w:rsidRPr="00682392">
        <w:rPr>
          <w:sz w:val="22"/>
          <w:szCs w:val="22"/>
        </w:rPr>
        <w:t>having</w:t>
      </w:r>
      <w:proofErr w:type="gramEnd"/>
      <w:r w:rsidRPr="00682392">
        <w:rPr>
          <w:sz w:val="22"/>
          <w:szCs w:val="22"/>
        </w:rPr>
        <w:t xml:space="preserve"> processes to generate warnings; or</w:t>
      </w:r>
    </w:p>
    <w:p w:rsidR="00682392" w:rsidRDefault="00682392" w:rsidP="00682392">
      <w:pPr>
        <w:rPr>
          <w:sz w:val="22"/>
          <w:szCs w:val="22"/>
        </w:rPr>
      </w:pPr>
      <w:r w:rsidRPr="00682392">
        <w:rPr>
          <w:sz w:val="22"/>
          <w:szCs w:val="22"/>
        </w:rPr>
        <w:t xml:space="preserve">(c) </w:t>
      </w:r>
      <w:proofErr w:type="gramStart"/>
      <w:r w:rsidRPr="00682392">
        <w:rPr>
          <w:sz w:val="22"/>
          <w:szCs w:val="22"/>
        </w:rPr>
        <w:t>having</w:t>
      </w:r>
      <w:proofErr w:type="gramEnd"/>
      <w:r w:rsidRPr="00682392">
        <w:rPr>
          <w:sz w:val="22"/>
          <w:szCs w:val="22"/>
        </w:rPr>
        <w:t xml:space="preserve"> processes to route large value orders for review.</w:t>
      </w:r>
    </w:p>
    <w:p w:rsidR="00111679" w:rsidRDefault="00111679" w:rsidP="00682392">
      <w:pPr>
        <w:rPr>
          <w:sz w:val="22"/>
          <w:szCs w:val="22"/>
        </w:rPr>
      </w:pPr>
    </w:p>
    <w:p w:rsidR="00111679" w:rsidRDefault="00111679" w:rsidP="00682392">
      <w:pPr>
        <w:rPr>
          <w:sz w:val="22"/>
          <w:szCs w:val="22"/>
        </w:rPr>
        <w:sectPr w:rsidR="00111679" w:rsidSect="00681652">
          <w:headerReference w:type="default" r:id="rId7"/>
          <w:footerReference w:type="default" r:id="rId8"/>
          <w:pgSz w:w="11907" w:h="16839" w:code="9"/>
          <w:pgMar w:top="1440" w:right="1440" w:bottom="1440" w:left="1440" w:header="720" w:footer="720" w:gutter="0"/>
          <w:cols w:space="720"/>
          <w:docGrid w:linePitch="360"/>
        </w:sectPr>
      </w:pPr>
    </w:p>
    <w:p w:rsidR="00111679" w:rsidRDefault="00111679" w:rsidP="00682392">
      <w:pPr>
        <w:rPr>
          <w:sz w:val="22"/>
          <w:szCs w:val="22"/>
        </w:rPr>
      </w:pPr>
    </w:p>
    <w:tbl>
      <w:tblPr>
        <w:tblStyle w:val="TableGrid"/>
        <w:tblW w:w="5000" w:type="pct"/>
        <w:tblCellMar>
          <w:top w:w="57" w:type="dxa"/>
          <w:bottom w:w="57" w:type="dxa"/>
        </w:tblCellMar>
        <w:tblLook w:val="04A0" w:firstRow="1" w:lastRow="0" w:firstColumn="1" w:lastColumn="0" w:noHBand="0" w:noVBand="1"/>
      </w:tblPr>
      <w:tblGrid>
        <w:gridCol w:w="1783"/>
        <w:gridCol w:w="1786"/>
        <w:gridCol w:w="1786"/>
        <w:gridCol w:w="859"/>
        <w:gridCol w:w="859"/>
        <w:gridCol w:w="859"/>
        <w:gridCol w:w="859"/>
        <w:gridCol w:w="859"/>
        <w:gridCol w:w="859"/>
        <w:gridCol w:w="859"/>
        <w:gridCol w:w="859"/>
        <w:gridCol w:w="859"/>
        <w:gridCol w:w="1089"/>
      </w:tblGrid>
      <w:tr w:rsidR="00502B5B" w:rsidRPr="008D40DF" w:rsidTr="003738FB">
        <w:tc>
          <w:tcPr>
            <w:tcW w:w="5000" w:type="pct"/>
            <w:gridSpan w:val="13"/>
            <w:shd w:val="clear" w:color="auto" w:fill="92D050"/>
          </w:tcPr>
          <w:p w:rsidR="00502B5B" w:rsidRPr="008D40DF" w:rsidRDefault="00502B5B" w:rsidP="003738FB">
            <w:pPr>
              <w:keepLines/>
              <w:spacing w:before="80" w:after="80" w:line="276" w:lineRule="auto"/>
              <w:jc w:val="both"/>
              <w:rPr>
                <w:b/>
              </w:rPr>
            </w:pPr>
            <w:r>
              <w:rPr>
                <w:b/>
              </w:rPr>
              <w:t>SGX-ST RULES SCHEDULE A</w:t>
            </w:r>
          </w:p>
        </w:tc>
      </w:tr>
      <w:tr w:rsidR="00502B5B" w:rsidRPr="00187D19" w:rsidTr="003738FB">
        <w:tblPrEx>
          <w:tblCellMar>
            <w:top w:w="0" w:type="dxa"/>
            <w:bottom w:w="0" w:type="dxa"/>
          </w:tblCellMar>
        </w:tblPrEx>
        <w:tc>
          <w:tcPr>
            <w:tcW w:w="1259" w:type="pct"/>
            <w:gridSpan w:val="2"/>
          </w:tcPr>
          <w:p w:rsidR="00502B5B" w:rsidRPr="00187D19" w:rsidRDefault="00502B5B" w:rsidP="003738FB">
            <w:pPr>
              <w:jc w:val="center"/>
              <w:rPr>
                <w:sz w:val="16"/>
                <w:szCs w:val="16"/>
                <w:lang w:val="en-CA"/>
              </w:rPr>
            </w:pPr>
            <w:r w:rsidRPr="00EA139A">
              <w:rPr>
                <w:sz w:val="16"/>
                <w:szCs w:val="16"/>
                <w:lang w:val="en-CA"/>
              </w:rPr>
              <w:t>Rule Violation</w:t>
            </w:r>
          </w:p>
        </w:tc>
        <w:tc>
          <w:tcPr>
            <w:tcW w:w="630" w:type="pct"/>
            <w:vMerge w:val="restart"/>
          </w:tcPr>
          <w:p w:rsidR="00502B5B" w:rsidRPr="00187D19" w:rsidRDefault="00502B5B" w:rsidP="003738FB">
            <w:pPr>
              <w:jc w:val="center"/>
              <w:rPr>
                <w:sz w:val="16"/>
                <w:szCs w:val="16"/>
                <w:lang w:val="en-CA"/>
              </w:rPr>
            </w:pPr>
            <w:r w:rsidRPr="00EA139A">
              <w:rPr>
                <w:sz w:val="16"/>
                <w:szCs w:val="16"/>
                <w:lang w:val="en-CA"/>
              </w:rPr>
              <w:t>Whether composition may be offered</w:t>
            </w:r>
          </w:p>
        </w:tc>
        <w:tc>
          <w:tcPr>
            <w:tcW w:w="2727" w:type="pct"/>
            <w:gridSpan w:val="9"/>
          </w:tcPr>
          <w:p w:rsidR="00502B5B" w:rsidRPr="00187D19" w:rsidRDefault="007E4AD3" w:rsidP="007E4AD3">
            <w:pPr>
              <w:jc w:val="center"/>
              <w:rPr>
                <w:sz w:val="16"/>
                <w:szCs w:val="16"/>
                <w:lang w:val="en-CA"/>
              </w:rPr>
            </w:pPr>
            <w:r w:rsidRPr="007E4AD3">
              <w:rPr>
                <w:sz w:val="16"/>
                <w:szCs w:val="16"/>
                <w:lang w:val="en-CA"/>
              </w:rPr>
              <w:t>Composition Amount which may be Offered by SGX-ST, where SGX-ST has Determined the Trading Member, Approved Executive Director and/or Trading Representative to be Liable</w:t>
            </w:r>
          </w:p>
        </w:tc>
        <w:tc>
          <w:tcPr>
            <w:tcW w:w="384" w:type="pct"/>
            <w:vMerge w:val="restart"/>
          </w:tcPr>
          <w:p w:rsidR="00502B5B" w:rsidRPr="00187D19" w:rsidRDefault="00502B5B" w:rsidP="003738FB">
            <w:pPr>
              <w:rPr>
                <w:sz w:val="16"/>
                <w:szCs w:val="16"/>
                <w:lang w:val="en-CA"/>
              </w:rPr>
            </w:pPr>
            <w:r w:rsidRPr="00187D19">
              <w:rPr>
                <w:sz w:val="16"/>
                <w:szCs w:val="16"/>
                <w:lang w:val="en-CA"/>
              </w:rPr>
              <w:t>Mandatory minimum penalty imposable by the DC</w:t>
            </w:r>
          </w:p>
        </w:tc>
      </w:tr>
      <w:tr w:rsidR="00502B5B" w:rsidRPr="00187D19" w:rsidTr="003738FB">
        <w:tblPrEx>
          <w:tblCellMar>
            <w:top w:w="0" w:type="dxa"/>
            <w:bottom w:w="0" w:type="dxa"/>
          </w:tblCellMar>
        </w:tblPrEx>
        <w:tc>
          <w:tcPr>
            <w:tcW w:w="629" w:type="pct"/>
            <w:vMerge w:val="restart"/>
          </w:tcPr>
          <w:p w:rsidR="00502B5B" w:rsidRDefault="00502B5B" w:rsidP="003738FB">
            <w:pPr>
              <w:jc w:val="center"/>
              <w:rPr>
                <w:sz w:val="16"/>
                <w:szCs w:val="16"/>
                <w:lang w:val="en-CA"/>
              </w:rPr>
            </w:pPr>
            <w:r>
              <w:rPr>
                <w:sz w:val="16"/>
                <w:szCs w:val="16"/>
                <w:lang w:val="en-CA"/>
              </w:rPr>
              <w:t>Rule</w:t>
            </w:r>
          </w:p>
          <w:p w:rsidR="00502B5B" w:rsidRPr="00187D19" w:rsidRDefault="00502B5B" w:rsidP="003738FB">
            <w:pPr>
              <w:jc w:val="center"/>
              <w:rPr>
                <w:sz w:val="16"/>
                <w:szCs w:val="16"/>
                <w:lang w:val="en-CA"/>
              </w:rPr>
            </w:pPr>
            <w:r>
              <w:rPr>
                <w:sz w:val="16"/>
                <w:szCs w:val="16"/>
                <w:lang w:val="en-CA"/>
              </w:rPr>
              <w:t>Chapter/Number</w:t>
            </w:r>
          </w:p>
        </w:tc>
        <w:tc>
          <w:tcPr>
            <w:tcW w:w="630" w:type="pct"/>
            <w:vMerge w:val="restart"/>
          </w:tcPr>
          <w:p w:rsidR="00502B5B" w:rsidRPr="00187D19" w:rsidRDefault="00502B5B" w:rsidP="003738FB">
            <w:pPr>
              <w:jc w:val="center"/>
              <w:rPr>
                <w:sz w:val="16"/>
                <w:szCs w:val="16"/>
                <w:lang w:val="en-CA"/>
              </w:rPr>
            </w:pPr>
            <w:r>
              <w:rPr>
                <w:sz w:val="16"/>
                <w:szCs w:val="16"/>
                <w:lang w:val="en-CA"/>
              </w:rPr>
              <w:t>Brief Description of Rule</w:t>
            </w:r>
          </w:p>
        </w:tc>
        <w:tc>
          <w:tcPr>
            <w:tcW w:w="630" w:type="pct"/>
            <w:vMerge/>
          </w:tcPr>
          <w:p w:rsidR="00502B5B" w:rsidRPr="00187D19" w:rsidRDefault="00502B5B" w:rsidP="003738FB">
            <w:pPr>
              <w:rPr>
                <w:sz w:val="16"/>
                <w:szCs w:val="16"/>
                <w:lang w:val="en-CA"/>
              </w:rPr>
            </w:pPr>
          </w:p>
        </w:tc>
        <w:tc>
          <w:tcPr>
            <w:tcW w:w="909" w:type="pct"/>
            <w:gridSpan w:val="3"/>
          </w:tcPr>
          <w:p w:rsidR="00502B5B" w:rsidRPr="00187D19" w:rsidRDefault="007E4AD3" w:rsidP="003738FB">
            <w:pPr>
              <w:jc w:val="center"/>
              <w:rPr>
                <w:sz w:val="16"/>
                <w:szCs w:val="16"/>
                <w:lang w:val="en-CA"/>
              </w:rPr>
            </w:pPr>
            <w:r w:rsidRPr="007E4AD3">
              <w:rPr>
                <w:sz w:val="16"/>
                <w:szCs w:val="16"/>
                <w:lang w:val="en-CA"/>
              </w:rPr>
              <w:t>Trading Members (or Designated Market Maker, where applicable)</w:t>
            </w:r>
          </w:p>
        </w:tc>
        <w:tc>
          <w:tcPr>
            <w:tcW w:w="909" w:type="pct"/>
            <w:gridSpan w:val="3"/>
          </w:tcPr>
          <w:p w:rsidR="00502B5B" w:rsidRPr="00187D19" w:rsidRDefault="007E4AD3" w:rsidP="003738FB">
            <w:pPr>
              <w:jc w:val="center"/>
              <w:rPr>
                <w:sz w:val="16"/>
                <w:szCs w:val="16"/>
                <w:lang w:val="en-CA"/>
              </w:rPr>
            </w:pPr>
            <w:r w:rsidRPr="007E4AD3">
              <w:rPr>
                <w:sz w:val="16"/>
                <w:szCs w:val="16"/>
                <w:lang w:val="en-CA"/>
              </w:rPr>
              <w:t>Approved Executive Directors</w:t>
            </w:r>
          </w:p>
        </w:tc>
        <w:tc>
          <w:tcPr>
            <w:tcW w:w="909" w:type="pct"/>
            <w:gridSpan w:val="3"/>
          </w:tcPr>
          <w:p w:rsidR="00502B5B" w:rsidRPr="00187D19" w:rsidRDefault="007E4AD3" w:rsidP="003738FB">
            <w:pPr>
              <w:jc w:val="center"/>
              <w:rPr>
                <w:sz w:val="16"/>
                <w:szCs w:val="16"/>
                <w:lang w:val="en-CA"/>
              </w:rPr>
            </w:pPr>
            <w:r w:rsidRPr="007E4AD3">
              <w:rPr>
                <w:sz w:val="16"/>
                <w:szCs w:val="16"/>
                <w:lang w:val="en-CA"/>
              </w:rPr>
              <w:t>Trading Representatives (or Market Making Representative, where applicable)</w:t>
            </w:r>
          </w:p>
        </w:tc>
        <w:tc>
          <w:tcPr>
            <w:tcW w:w="384" w:type="pct"/>
            <w:vMerge/>
          </w:tcPr>
          <w:p w:rsidR="00502B5B" w:rsidRPr="00187D19" w:rsidRDefault="00502B5B" w:rsidP="003738FB">
            <w:pPr>
              <w:rPr>
                <w:sz w:val="16"/>
                <w:szCs w:val="16"/>
                <w:lang w:val="en-CA"/>
              </w:rPr>
            </w:pPr>
          </w:p>
        </w:tc>
      </w:tr>
      <w:tr w:rsidR="00502B5B" w:rsidRPr="00187D19" w:rsidTr="003738FB">
        <w:tblPrEx>
          <w:tblCellMar>
            <w:top w:w="0" w:type="dxa"/>
            <w:bottom w:w="0" w:type="dxa"/>
          </w:tblCellMar>
        </w:tblPrEx>
        <w:tc>
          <w:tcPr>
            <w:tcW w:w="629" w:type="pct"/>
            <w:vMerge/>
          </w:tcPr>
          <w:p w:rsidR="00502B5B" w:rsidRPr="00187D19" w:rsidRDefault="00502B5B" w:rsidP="003738FB">
            <w:pPr>
              <w:rPr>
                <w:sz w:val="16"/>
                <w:szCs w:val="16"/>
                <w:lang w:val="en-CA"/>
              </w:rPr>
            </w:pPr>
          </w:p>
        </w:tc>
        <w:tc>
          <w:tcPr>
            <w:tcW w:w="630" w:type="pct"/>
            <w:vMerge/>
          </w:tcPr>
          <w:p w:rsidR="00502B5B" w:rsidRPr="00187D19" w:rsidRDefault="00502B5B" w:rsidP="003738FB">
            <w:pPr>
              <w:rPr>
                <w:sz w:val="16"/>
                <w:szCs w:val="16"/>
                <w:lang w:val="en-CA"/>
              </w:rPr>
            </w:pPr>
          </w:p>
        </w:tc>
        <w:tc>
          <w:tcPr>
            <w:tcW w:w="630" w:type="pct"/>
            <w:vMerge/>
          </w:tcPr>
          <w:p w:rsidR="00502B5B" w:rsidRPr="00187D19" w:rsidRDefault="00502B5B" w:rsidP="003738FB">
            <w:pPr>
              <w:rPr>
                <w:sz w:val="16"/>
                <w:szCs w:val="16"/>
                <w:lang w:val="en-CA"/>
              </w:rPr>
            </w:pPr>
          </w:p>
        </w:tc>
        <w:tc>
          <w:tcPr>
            <w:tcW w:w="303" w:type="pct"/>
          </w:tcPr>
          <w:p w:rsidR="00502B5B" w:rsidRDefault="00502B5B" w:rsidP="003738FB">
            <w:pPr>
              <w:rPr>
                <w:sz w:val="16"/>
                <w:szCs w:val="16"/>
                <w:lang w:val="en-CA"/>
              </w:rPr>
            </w:pPr>
            <w:r w:rsidRPr="00187D19">
              <w:rPr>
                <w:sz w:val="16"/>
                <w:szCs w:val="16"/>
                <w:lang w:val="en-CA"/>
              </w:rPr>
              <w:t xml:space="preserve">1st </w:t>
            </w:r>
          </w:p>
          <w:p w:rsidR="00502B5B" w:rsidRPr="00187D19" w:rsidRDefault="00502B5B" w:rsidP="003738FB">
            <w:pPr>
              <w:rPr>
                <w:sz w:val="16"/>
                <w:szCs w:val="16"/>
                <w:lang w:val="en-CA"/>
              </w:rPr>
            </w:pPr>
            <w:r w:rsidRPr="00187D19">
              <w:rPr>
                <w:sz w:val="16"/>
                <w:szCs w:val="16"/>
                <w:lang w:val="en-CA"/>
              </w:rPr>
              <w:t>Violation</w:t>
            </w:r>
          </w:p>
        </w:tc>
        <w:tc>
          <w:tcPr>
            <w:tcW w:w="303" w:type="pct"/>
          </w:tcPr>
          <w:p w:rsidR="00502B5B" w:rsidRPr="00187D19" w:rsidRDefault="00502B5B" w:rsidP="003738FB">
            <w:pPr>
              <w:rPr>
                <w:sz w:val="16"/>
                <w:szCs w:val="16"/>
                <w:lang w:val="en-CA"/>
              </w:rPr>
            </w:pPr>
            <w:r w:rsidRPr="00187D19">
              <w:rPr>
                <w:sz w:val="16"/>
                <w:szCs w:val="16"/>
                <w:lang w:val="en-CA"/>
              </w:rPr>
              <w:t>2nd Violation</w:t>
            </w:r>
          </w:p>
        </w:tc>
        <w:tc>
          <w:tcPr>
            <w:tcW w:w="303" w:type="pct"/>
          </w:tcPr>
          <w:p w:rsidR="00502B5B" w:rsidRPr="00187D19" w:rsidRDefault="00502B5B" w:rsidP="003738FB">
            <w:pPr>
              <w:rPr>
                <w:sz w:val="16"/>
                <w:szCs w:val="16"/>
                <w:lang w:val="en-CA"/>
              </w:rPr>
            </w:pPr>
            <w:r w:rsidRPr="00187D19">
              <w:rPr>
                <w:sz w:val="16"/>
                <w:szCs w:val="16"/>
                <w:lang w:val="en-CA"/>
              </w:rPr>
              <w:t>3rd Violation</w:t>
            </w:r>
          </w:p>
        </w:tc>
        <w:tc>
          <w:tcPr>
            <w:tcW w:w="303" w:type="pct"/>
          </w:tcPr>
          <w:p w:rsidR="00502B5B" w:rsidRDefault="00502B5B" w:rsidP="003738FB">
            <w:pPr>
              <w:rPr>
                <w:sz w:val="16"/>
                <w:szCs w:val="16"/>
                <w:lang w:val="en-CA"/>
              </w:rPr>
            </w:pPr>
            <w:r w:rsidRPr="00187D19">
              <w:rPr>
                <w:sz w:val="16"/>
                <w:szCs w:val="16"/>
                <w:lang w:val="en-CA"/>
              </w:rPr>
              <w:t xml:space="preserve">1st </w:t>
            </w:r>
          </w:p>
          <w:p w:rsidR="00502B5B" w:rsidRPr="00187D19" w:rsidRDefault="00502B5B" w:rsidP="003738FB">
            <w:pPr>
              <w:rPr>
                <w:sz w:val="16"/>
                <w:szCs w:val="16"/>
                <w:lang w:val="en-CA"/>
              </w:rPr>
            </w:pPr>
            <w:r w:rsidRPr="00187D19">
              <w:rPr>
                <w:sz w:val="16"/>
                <w:szCs w:val="16"/>
                <w:lang w:val="en-CA"/>
              </w:rPr>
              <w:t>Violation</w:t>
            </w:r>
          </w:p>
        </w:tc>
        <w:tc>
          <w:tcPr>
            <w:tcW w:w="303" w:type="pct"/>
          </w:tcPr>
          <w:p w:rsidR="00502B5B" w:rsidRPr="00187D19" w:rsidRDefault="00502B5B" w:rsidP="003738FB">
            <w:pPr>
              <w:rPr>
                <w:sz w:val="16"/>
                <w:szCs w:val="16"/>
                <w:lang w:val="en-CA"/>
              </w:rPr>
            </w:pPr>
            <w:r w:rsidRPr="00187D19">
              <w:rPr>
                <w:sz w:val="16"/>
                <w:szCs w:val="16"/>
                <w:lang w:val="en-CA"/>
              </w:rPr>
              <w:t>2nd Violation</w:t>
            </w:r>
          </w:p>
        </w:tc>
        <w:tc>
          <w:tcPr>
            <w:tcW w:w="303" w:type="pct"/>
          </w:tcPr>
          <w:p w:rsidR="00502B5B" w:rsidRPr="00187D19" w:rsidRDefault="00502B5B" w:rsidP="003738FB">
            <w:pPr>
              <w:rPr>
                <w:sz w:val="16"/>
                <w:szCs w:val="16"/>
                <w:lang w:val="en-CA"/>
              </w:rPr>
            </w:pPr>
            <w:r w:rsidRPr="00187D19">
              <w:rPr>
                <w:sz w:val="16"/>
                <w:szCs w:val="16"/>
                <w:lang w:val="en-CA"/>
              </w:rPr>
              <w:t>3rd Violation</w:t>
            </w:r>
          </w:p>
        </w:tc>
        <w:tc>
          <w:tcPr>
            <w:tcW w:w="303" w:type="pct"/>
          </w:tcPr>
          <w:p w:rsidR="00502B5B" w:rsidRDefault="00502B5B" w:rsidP="003738FB">
            <w:pPr>
              <w:rPr>
                <w:sz w:val="16"/>
                <w:szCs w:val="16"/>
                <w:lang w:val="en-CA"/>
              </w:rPr>
            </w:pPr>
            <w:r w:rsidRPr="00187D19">
              <w:rPr>
                <w:sz w:val="16"/>
                <w:szCs w:val="16"/>
                <w:lang w:val="en-CA"/>
              </w:rPr>
              <w:t xml:space="preserve">1st </w:t>
            </w:r>
          </w:p>
          <w:p w:rsidR="00502B5B" w:rsidRPr="00187D19" w:rsidRDefault="00502B5B" w:rsidP="003738FB">
            <w:pPr>
              <w:rPr>
                <w:sz w:val="16"/>
                <w:szCs w:val="16"/>
                <w:lang w:val="en-CA"/>
              </w:rPr>
            </w:pPr>
            <w:r w:rsidRPr="00187D19">
              <w:rPr>
                <w:sz w:val="16"/>
                <w:szCs w:val="16"/>
                <w:lang w:val="en-CA"/>
              </w:rPr>
              <w:t>Violation</w:t>
            </w:r>
          </w:p>
        </w:tc>
        <w:tc>
          <w:tcPr>
            <w:tcW w:w="303" w:type="pct"/>
          </w:tcPr>
          <w:p w:rsidR="00502B5B" w:rsidRPr="00187D19" w:rsidRDefault="00502B5B" w:rsidP="003738FB">
            <w:pPr>
              <w:rPr>
                <w:sz w:val="16"/>
                <w:szCs w:val="16"/>
                <w:lang w:val="en-CA"/>
              </w:rPr>
            </w:pPr>
            <w:r w:rsidRPr="00187D19">
              <w:rPr>
                <w:sz w:val="16"/>
                <w:szCs w:val="16"/>
                <w:lang w:val="en-CA"/>
              </w:rPr>
              <w:t>2nd Violation</w:t>
            </w:r>
          </w:p>
        </w:tc>
        <w:tc>
          <w:tcPr>
            <w:tcW w:w="303" w:type="pct"/>
          </w:tcPr>
          <w:p w:rsidR="00502B5B" w:rsidRPr="00187D19" w:rsidRDefault="00502B5B" w:rsidP="003738FB">
            <w:pPr>
              <w:rPr>
                <w:sz w:val="16"/>
                <w:szCs w:val="16"/>
                <w:lang w:val="en-CA"/>
              </w:rPr>
            </w:pPr>
            <w:r w:rsidRPr="00187D19">
              <w:rPr>
                <w:sz w:val="16"/>
                <w:szCs w:val="16"/>
                <w:lang w:val="en-CA"/>
              </w:rPr>
              <w:t>3rd Violation</w:t>
            </w:r>
          </w:p>
        </w:tc>
        <w:tc>
          <w:tcPr>
            <w:tcW w:w="384" w:type="pct"/>
            <w:vMerge/>
          </w:tcPr>
          <w:p w:rsidR="00502B5B" w:rsidRPr="00187D19" w:rsidRDefault="00502B5B" w:rsidP="003738FB">
            <w:pPr>
              <w:rPr>
                <w:sz w:val="16"/>
                <w:szCs w:val="16"/>
                <w:lang w:val="en-CA"/>
              </w:rPr>
            </w:pPr>
          </w:p>
        </w:tc>
      </w:tr>
      <w:tr w:rsidR="007E4AD3" w:rsidRPr="00B009A0" w:rsidTr="007E4AD3">
        <w:tblPrEx>
          <w:tblCellMar>
            <w:top w:w="0" w:type="dxa"/>
            <w:bottom w:w="0" w:type="dxa"/>
          </w:tblCellMar>
        </w:tblPrEx>
        <w:tc>
          <w:tcPr>
            <w:tcW w:w="5000" w:type="pct"/>
            <w:gridSpan w:val="13"/>
          </w:tcPr>
          <w:p w:rsidR="007E4AD3" w:rsidRDefault="007E4AD3" w:rsidP="003738FB">
            <w:pPr>
              <w:rPr>
                <w:b/>
                <w:sz w:val="16"/>
                <w:szCs w:val="16"/>
                <w:lang w:val="en-CA"/>
              </w:rPr>
            </w:pPr>
            <w:r w:rsidRPr="007E4AD3">
              <w:rPr>
                <w:b/>
                <w:sz w:val="16"/>
                <w:szCs w:val="16"/>
                <w:lang w:val="en-CA"/>
              </w:rPr>
              <w:t>Chapter 4 – Trading Member</w:t>
            </w:r>
          </w:p>
        </w:tc>
      </w:tr>
      <w:tr w:rsidR="00502B5B" w:rsidRPr="00B009A0" w:rsidTr="003738FB">
        <w:tblPrEx>
          <w:tblCellMar>
            <w:top w:w="0" w:type="dxa"/>
            <w:bottom w:w="0" w:type="dxa"/>
          </w:tblCellMar>
        </w:tblPrEx>
        <w:tc>
          <w:tcPr>
            <w:tcW w:w="629" w:type="pct"/>
          </w:tcPr>
          <w:p w:rsidR="00502B5B" w:rsidRPr="00B009A0" w:rsidRDefault="007E4AD3" w:rsidP="003738FB">
            <w:pPr>
              <w:jc w:val="center"/>
              <w:rPr>
                <w:b/>
                <w:sz w:val="16"/>
                <w:szCs w:val="16"/>
                <w:lang w:val="en-CA"/>
              </w:rPr>
            </w:pPr>
            <w:r>
              <w:rPr>
                <w:b/>
                <w:sz w:val="16"/>
                <w:szCs w:val="16"/>
                <w:lang w:val="en-CA"/>
              </w:rPr>
              <w:t>4.5A.2</w:t>
            </w:r>
          </w:p>
        </w:tc>
        <w:tc>
          <w:tcPr>
            <w:tcW w:w="4371" w:type="pct"/>
            <w:gridSpan w:val="12"/>
          </w:tcPr>
          <w:p w:rsidR="00502B5B" w:rsidRPr="00B009A0" w:rsidRDefault="007E4AD3" w:rsidP="003738FB">
            <w:pPr>
              <w:rPr>
                <w:b/>
                <w:sz w:val="16"/>
                <w:szCs w:val="16"/>
                <w:lang w:val="en-CA"/>
              </w:rPr>
            </w:pPr>
            <w:r w:rsidRPr="007E4AD3">
              <w:rPr>
                <w:b/>
                <w:sz w:val="16"/>
                <w:szCs w:val="16"/>
                <w:lang w:val="en-CA"/>
              </w:rPr>
              <w:t>Conditions Governing Direct Market Access</w:t>
            </w:r>
          </w:p>
        </w:tc>
      </w:tr>
      <w:tr w:rsidR="007E4AD3" w:rsidRPr="00857FE0" w:rsidTr="007E4AD3">
        <w:tblPrEx>
          <w:tblCellMar>
            <w:top w:w="0" w:type="dxa"/>
            <w:bottom w:w="0" w:type="dxa"/>
          </w:tblCellMar>
        </w:tblPrEx>
        <w:tc>
          <w:tcPr>
            <w:tcW w:w="629" w:type="pct"/>
            <w:vAlign w:val="center"/>
          </w:tcPr>
          <w:p w:rsidR="007E4AD3" w:rsidRPr="007E4AD3" w:rsidRDefault="007E4AD3" w:rsidP="007E4AD3">
            <w:pPr>
              <w:jc w:val="center"/>
              <w:rPr>
                <w:bCs/>
                <w:color w:val="0070C0"/>
                <w:sz w:val="16"/>
                <w:szCs w:val="16"/>
                <w:u w:val="single"/>
              </w:rPr>
            </w:pPr>
            <w:r w:rsidRPr="007E4AD3">
              <w:rPr>
                <w:bCs/>
                <w:color w:val="0070C0"/>
                <w:sz w:val="16"/>
                <w:szCs w:val="16"/>
                <w:u w:val="single"/>
              </w:rPr>
              <w:t>4.5A.2(3)</w:t>
            </w:r>
          </w:p>
        </w:tc>
        <w:tc>
          <w:tcPr>
            <w:tcW w:w="630" w:type="pct"/>
            <w:vAlign w:val="center"/>
          </w:tcPr>
          <w:p w:rsidR="007E4AD3" w:rsidRPr="007E4AD3" w:rsidRDefault="007E4AD3" w:rsidP="007E4AD3">
            <w:pPr>
              <w:rPr>
                <w:color w:val="0070C0"/>
                <w:sz w:val="16"/>
                <w:szCs w:val="16"/>
                <w:u w:val="single"/>
              </w:rPr>
            </w:pPr>
            <w:r w:rsidRPr="007E4AD3">
              <w:rPr>
                <w:color w:val="0070C0"/>
                <w:sz w:val="16"/>
                <w:szCs w:val="16"/>
                <w:u w:val="single"/>
              </w:rPr>
              <w:t>Trading Member to provide report by independent reviewer</w:t>
            </w:r>
          </w:p>
        </w:tc>
        <w:tc>
          <w:tcPr>
            <w:tcW w:w="630" w:type="pct"/>
            <w:vAlign w:val="center"/>
          </w:tcPr>
          <w:p w:rsidR="007E4AD3" w:rsidRPr="007E4AD3" w:rsidRDefault="007E4AD3" w:rsidP="007E4AD3">
            <w:pPr>
              <w:jc w:val="center"/>
              <w:rPr>
                <w:color w:val="0070C0"/>
                <w:sz w:val="16"/>
                <w:szCs w:val="16"/>
                <w:u w:val="single"/>
              </w:rPr>
            </w:pPr>
            <w:r w:rsidRPr="007E4AD3">
              <w:rPr>
                <w:color w:val="0070C0"/>
                <w:sz w:val="16"/>
                <w:szCs w:val="16"/>
                <w:u w:val="single"/>
              </w:rPr>
              <w:t>Compoundable</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$2,000 – $4,000</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$4,000 – $7,000</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$7,000 – $10,000</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84"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r>
      <w:tr w:rsidR="007E4AD3" w:rsidRPr="00B009A0" w:rsidTr="003738FB">
        <w:tblPrEx>
          <w:tblCellMar>
            <w:top w:w="0" w:type="dxa"/>
            <w:bottom w:w="0" w:type="dxa"/>
          </w:tblCellMar>
        </w:tblPrEx>
        <w:tc>
          <w:tcPr>
            <w:tcW w:w="629" w:type="pct"/>
          </w:tcPr>
          <w:p w:rsidR="007E4AD3" w:rsidRDefault="007E4AD3" w:rsidP="003738FB">
            <w:pPr>
              <w:jc w:val="center"/>
              <w:rPr>
                <w:b/>
                <w:sz w:val="16"/>
                <w:szCs w:val="16"/>
                <w:lang w:val="en-CA"/>
              </w:rPr>
            </w:pPr>
            <w:r>
              <w:rPr>
                <w:b/>
                <w:sz w:val="16"/>
                <w:szCs w:val="16"/>
                <w:lang w:val="en-CA"/>
              </w:rPr>
              <w:t>4.5A.4</w:t>
            </w:r>
          </w:p>
        </w:tc>
        <w:tc>
          <w:tcPr>
            <w:tcW w:w="4371" w:type="pct"/>
            <w:gridSpan w:val="12"/>
          </w:tcPr>
          <w:p w:rsidR="007E4AD3" w:rsidRPr="007E4AD3" w:rsidRDefault="007E4AD3" w:rsidP="003738FB">
            <w:pPr>
              <w:rPr>
                <w:b/>
                <w:sz w:val="16"/>
                <w:szCs w:val="16"/>
                <w:lang w:val="en-CA"/>
              </w:rPr>
            </w:pPr>
            <w:r w:rsidRPr="007E4AD3">
              <w:rPr>
                <w:b/>
                <w:sz w:val="16"/>
                <w:szCs w:val="16"/>
                <w:lang w:val="en-CA"/>
              </w:rPr>
              <w:t>Suspension and Termination of Direct Market Access</w:t>
            </w:r>
          </w:p>
        </w:tc>
      </w:tr>
      <w:tr w:rsidR="007E4AD3" w:rsidRPr="00857FE0" w:rsidTr="007E4AD3">
        <w:tblPrEx>
          <w:tblCellMar>
            <w:top w:w="0" w:type="dxa"/>
            <w:bottom w:w="0" w:type="dxa"/>
          </w:tblCellMar>
        </w:tblPrEx>
        <w:tc>
          <w:tcPr>
            <w:tcW w:w="629" w:type="pct"/>
            <w:vAlign w:val="center"/>
          </w:tcPr>
          <w:p w:rsidR="007E4AD3" w:rsidRPr="007E4AD3" w:rsidRDefault="007E4AD3" w:rsidP="007E4AD3">
            <w:pPr>
              <w:jc w:val="center"/>
              <w:rPr>
                <w:color w:val="0070C0"/>
                <w:sz w:val="16"/>
                <w:szCs w:val="16"/>
              </w:rPr>
            </w:pPr>
            <w:r w:rsidRPr="007E4AD3">
              <w:rPr>
                <w:sz w:val="16"/>
                <w:szCs w:val="16"/>
              </w:rPr>
              <w:t>4.5A.4</w:t>
            </w:r>
            <w:r w:rsidRPr="007E4AD3">
              <w:rPr>
                <w:color w:val="0070C0"/>
                <w:sz w:val="16"/>
                <w:szCs w:val="16"/>
                <w:u w:val="single"/>
              </w:rPr>
              <w:t>(1)</w:t>
            </w:r>
          </w:p>
        </w:tc>
        <w:tc>
          <w:tcPr>
            <w:tcW w:w="630" w:type="pct"/>
            <w:vAlign w:val="center"/>
          </w:tcPr>
          <w:p w:rsidR="007E4AD3" w:rsidRPr="007E4AD3" w:rsidRDefault="007E4AD3" w:rsidP="007E4AD3">
            <w:pPr>
              <w:rPr>
                <w:sz w:val="16"/>
                <w:szCs w:val="16"/>
              </w:rPr>
            </w:pPr>
            <w:r w:rsidRPr="007E4AD3">
              <w:rPr>
                <w:sz w:val="16"/>
                <w:szCs w:val="16"/>
              </w:rPr>
              <w:t>SGX-ST to direct Trading Member to suspend or terminate Direct Market Access</w:t>
            </w:r>
          </w:p>
        </w:tc>
        <w:tc>
          <w:tcPr>
            <w:tcW w:w="630" w:type="pct"/>
            <w:vAlign w:val="center"/>
          </w:tcPr>
          <w:p w:rsidR="007E4AD3" w:rsidRPr="007E4AD3" w:rsidRDefault="007E4AD3" w:rsidP="007E4AD3">
            <w:pPr>
              <w:jc w:val="center"/>
              <w:rPr>
                <w:sz w:val="16"/>
                <w:szCs w:val="16"/>
              </w:rPr>
            </w:pPr>
            <w:r w:rsidRPr="007E4AD3">
              <w:rPr>
                <w:sz w:val="16"/>
                <w:szCs w:val="16"/>
              </w:rPr>
              <w:t>Not Compoundable</w:t>
            </w:r>
          </w:p>
        </w:tc>
        <w:tc>
          <w:tcPr>
            <w:tcW w:w="909" w:type="pct"/>
            <w:gridSpan w:val="3"/>
            <w:vAlign w:val="center"/>
          </w:tcPr>
          <w:p w:rsidR="007E4AD3" w:rsidRPr="007E4AD3" w:rsidRDefault="007E4AD3" w:rsidP="007E4AD3">
            <w:pPr>
              <w:jc w:val="center"/>
              <w:rPr>
                <w:sz w:val="16"/>
                <w:szCs w:val="16"/>
              </w:rPr>
            </w:pPr>
            <w:r w:rsidRPr="007E4AD3">
              <w:rPr>
                <w:sz w:val="16"/>
                <w:szCs w:val="16"/>
              </w:rPr>
              <w:t>Not Compoundable</w:t>
            </w:r>
          </w:p>
        </w:tc>
        <w:tc>
          <w:tcPr>
            <w:tcW w:w="303" w:type="pct"/>
            <w:vAlign w:val="center"/>
          </w:tcPr>
          <w:p w:rsidR="007E4AD3" w:rsidRPr="007E4AD3" w:rsidRDefault="007E4AD3" w:rsidP="007E4AD3">
            <w:pPr>
              <w:rPr>
                <w:sz w:val="16"/>
                <w:szCs w:val="16"/>
              </w:rPr>
            </w:pPr>
            <w:r w:rsidRPr="007E4AD3">
              <w:rPr>
                <w:sz w:val="16"/>
                <w:szCs w:val="16"/>
              </w:rPr>
              <w:t>N.A</w:t>
            </w:r>
          </w:p>
        </w:tc>
        <w:tc>
          <w:tcPr>
            <w:tcW w:w="303" w:type="pct"/>
            <w:vAlign w:val="center"/>
          </w:tcPr>
          <w:p w:rsidR="007E4AD3" w:rsidRPr="007E4AD3" w:rsidRDefault="007E4AD3" w:rsidP="007E4AD3">
            <w:pPr>
              <w:rPr>
                <w:sz w:val="16"/>
                <w:szCs w:val="16"/>
              </w:rPr>
            </w:pPr>
            <w:r w:rsidRPr="007E4AD3">
              <w:rPr>
                <w:sz w:val="16"/>
                <w:szCs w:val="16"/>
              </w:rPr>
              <w:t>N.A</w:t>
            </w:r>
          </w:p>
        </w:tc>
        <w:tc>
          <w:tcPr>
            <w:tcW w:w="303" w:type="pct"/>
            <w:vAlign w:val="center"/>
          </w:tcPr>
          <w:p w:rsidR="007E4AD3" w:rsidRPr="007E4AD3" w:rsidRDefault="007E4AD3" w:rsidP="007E4AD3">
            <w:pPr>
              <w:rPr>
                <w:sz w:val="16"/>
                <w:szCs w:val="16"/>
              </w:rPr>
            </w:pPr>
            <w:r w:rsidRPr="007E4AD3">
              <w:rPr>
                <w:sz w:val="16"/>
                <w:szCs w:val="16"/>
              </w:rPr>
              <w:t>N.A</w:t>
            </w:r>
          </w:p>
        </w:tc>
        <w:tc>
          <w:tcPr>
            <w:tcW w:w="303" w:type="pct"/>
            <w:vAlign w:val="center"/>
          </w:tcPr>
          <w:p w:rsidR="007E4AD3" w:rsidRPr="007E4AD3" w:rsidRDefault="007E4AD3" w:rsidP="007E4AD3">
            <w:pPr>
              <w:rPr>
                <w:sz w:val="16"/>
                <w:szCs w:val="16"/>
              </w:rPr>
            </w:pPr>
            <w:r w:rsidRPr="007E4AD3">
              <w:rPr>
                <w:sz w:val="16"/>
                <w:szCs w:val="16"/>
              </w:rPr>
              <w:t>N.A</w:t>
            </w:r>
          </w:p>
        </w:tc>
        <w:tc>
          <w:tcPr>
            <w:tcW w:w="303" w:type="pct"/>
            <w:vAlign w:val="center"/>
          </w:tcPr>
          <w:p w:rsidR="007E4AD3" w:rsidRPr="007E4AD3" w:rsidRDefault="007E4AD3" w:rsidP="007E4AD3">
            <w:pPr>
              <w:rPr>
                <w:sz w:val="16"/>
                <w:szCs w:val="16"/>
              </w:rPr>
            </w:pPr>
            <w:r w:rsidRPr="007E4AD3">
              <w:rPr>
                <w:sz w:val="16"/>
                <w:szCs w:val="16"/>
              </w:rPr>
              <w:t>N.A</w:t>
            </w:r>
          </w:p>
        </w:tc>
        <w:tc>
          <w:tcPr>
            <w:tcW w:w="303" w:type="pct"/>
            <w:vAlign w:val="center"/>
          </w:tcPr>
          <w:p w:rsidR="007E4AD3" w:rsidRPr="007E4AD3" w:rsidRDefault="007E4AD3" w:rsidP="007E4AD3">
            <w:pPr>
              <w:rPr>
                <w:sz w:val="16"/>
                <w:szCs w:val="16"/>
              </w:rPr>
            </w:pPr>
            <w:r w:rsidRPr="007E4AD3">
              <w:rPr>
                <w:sz w:val="16"/>
                <w:szCs w:val="16"/>
              </w:rPr>
              <w:t>N.A</w:t>
            </w:r>
          </w:p>
        </w:tc>
        <w:tc>
          <w:tcPr>
            <w:tcW w:w="384" w:type="pct"/>
            <w:vAlign w:val="center"/>
          </w:tcPr>
          <w:p w:rsidR="007E4AD3" w:rsidRPr="007E4AD3" w:rsidRDefault="007E4AD3" w:rsidP="007E4AD3">
            <w:pPr>
              <w:rPr>
                <w:sz w:val="16"/>
                <w:szCs w:val="16"/>
              </w:rPr>
            </w:pPr>
            <w:r w:rsidRPr="007E4AD3">
              <w:rPr>
                <w:sz w:val="16"/>
                <w:szCs w:val="16"/>
              </w:rPr>
              <w:t>$10,000</w:t>
            </w:r>
          </w:p>
        </w:tc>
      </w:tr>
      <w:tr w:rsidR="007E4AD3" w:rsidRPr="00857FE0" w:rsidTr="007E4AD3">
        <w:tblPrEx>
          <w:tblCellMar>
            <w:top w:w="0" w:type="dxa"/>
            <w:bottom w:w="0" w:type="dxa"/>
          </w:tblCellMar>
        </w:tblPrEx>
        <w:tc>
          <w:tcPr>
            <w:tcW w:w="629" w:type="pct"/>
            <w:vAlign w:val="center"/>
          </w:tcPr>
          <w:p w:rsidR="007E4AD3" w:rsidRPr="007E4AD3" w:rsidRDefault="007E4AD3" w:rsidP="007E4AD3">
            <w:pPr>
              <w:jc w:val="center"/>
              <w:rPr>
                <w:color w:val="0070C0"/>
                <w:sz w:val="16"/>
                <w:szCs w:val="16"/>
                <w:u w:val="single"/>
              </w:rPr>
            </w:pPr>
            <w:r w:rsidRPr="007E4AD3">
              <w:rPr>
                <w:color w:val="0070C0"/>
                <w:sz w:val="16"/>
                <w:szCs w:val="16"/>
                <w:u w:val="single"/>
              </w:rPr>
              <w:t>4.5A.4(2)</w:t>
            </w:r>
          </w:p>
        </w:tc>
        <w:tc>
          <w:tcPr>
            <w:tcW w:w="630" w:type="pct"/>
            <w:vAlign w:val="center"/>
          </w:tcPr>
          <w:p w:rsidR="007E4AD3" w:rsidRPr="007E4AD3" w:rsidRDefault="007E4AD3" w:rsidP="007E4AD3">
            <w:pPr>
              <w:rPr>
                <w:color w:val="0070C0"/>
                <w:sz w:val="16"/>
                <w:szCs w:val="16"/>
                <w:u w:val="single"/>
              </w:rPr>
            </w:pPr>
            <w:r w:rsidRPr="007E4AD3">
              <w:rPr>
                <w:color w:val="0070C0"/>
                <w:sz w:val="16"/>
                <w:szCs w:val="16"/>
                <w:u w:val="single"/>
              </w:rPr>
              <w:t>Trading Member to have ability to suspend or terminate Direct Market Access</w:t>
            </w:r>
          </w:p>
        </w:tc>
        <w:tc>
          <w:tcPr>
            <w:tcW w:w="630" w:type="pct"/>
            <w:vAlign w:val="center"/>
          </w:tcPr>
          <w:p w:rsidR="007E4AD3" w:rsidRPr="007E4AD3" w:rsidRDefault="007E4AD3" w:rsidP="007E4AD3">
            <w:pPr>
              <w:jc w:val="center"/>
              <w:rPr>
                <w:color w:val="0070C0"/>
                <w:sz w:val="16"/>
                <w:szCs w:val="16"/>
                <w:u w:val="single"/>
              </w:rPr>
            </w:pPr>
            <w:r w:rsidRPr="007E4AD3">
              <w:rPr>
                <w:color w:val="0070C0"/>
                <w:sz w:val="16"/>
                <w:szCs w:val="16"/>
                <w:u w:val="single"/>
              </w:rPr>
              <w:t>Not Compoundable</w:t>
            </w:r>
          </w:p>
        </w:tc>
        <w:tc>
          <w:tcPr>
            <w:tcW w:w="909" w:type="pct"/>
            <w:gridSpan w:val="3"/>
            <w:vAlign w:val="center"/>
          </w:tcPr>
          <w:p w:rsidR="007E4AD3" w:rsidRPr="007E4AD3" w:rsidRDefault="007E4AD3" w:rsidP="007E4AD3">
            <w:pPr>
              <w:jc w:val="center"/>
              <w:rPr>
                <w:color w:val="0070C0"/>
                <w:sz w:val="16"/>
                <w:szCs w:val="16"/>
                <w:u w:val="single"/>
              </w:rPr>
            </w:pPr>
            <w:r w:rsidRPr="007E4AD3">
              <w:rPr>
                <w:color w:val="0070C0"/>
                <w:sz w:val="16"/>
                <w:szCs w:val="16"/>
                <w:u w:val="single"/>
              </w:rPr>
              <w:t>Not Compoundable</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03" w:type="pct"/>
            <w:vAlign w:val="center"/>
          </w:tcPr>
          <w:p w:rsidR="007E4AD3" w:rsidRPr="007E4AD3" w:rsidRDefault="007E4AD3" w:rsidP="007E4AD3">
            <w:pPr>
              <w:rPr>
                <w:color w:val="0070C0"/>
                <w:sz w:val="16"/>
                <w:szCs w:val="16"/>
                <w:u w:val="single"/>
              </w:rPr>
            </w:pPr>
            <w:r w:rsidRPr="007E4AD3">
              <w:rPr>
                <w:color w:val="0070C0"/>
                <w:sz w:val="16"/>
                <w:szCs w:val="16"/>
                <w:u w:val="single"/>
              </w:rPr>
              <w:t>N.A</w:t>
            </w:r>
          </w:p>
        </w:tc>
        <w:tc>
          <w:tcPr>
            <w:tcW w:w="384" w:type="pct"/>
            <w:vAlign w:val="center"/>
          </w:tcPr>
          <w:p w:rsidR="007E4AD3" w:rsidRPr="007E4AD3" w:rsidRDefault="007E4AD3" w:rsidP="007E4AD3">
            <w:pPr>
              <w:rPr>
                <w:color w:val="0070C0"/>
                <w:sz w:val="16"/>
                <w:szCs w:val="16"/>
                <w:u w:val="single"/>
              </w:rPr>
            </w:pPr>
            <w:r w:rsidRPr="007E4AD3">
              <w:rPr>
                <w:color w:val="0070C0"/>
                <w:sz w:val="16"/>
                <w:szCs w:val="16"/>
                <w:u w:val="single"/>
              </w:rPr>
              <w:t>$10,000</w:t>
            </w:r>
          </w:p>
        </w:tc>
      </w:tr>
      <w:tr w:rsidR="00C569D9" w:rsidRPr="00B009A0" w:rsidTr="003738FB">
        <w:tblPrEx>
          <w:tblCellMar>
            <w:top w:w="0" w:type="dxa"/>
            <w:bottom w:w="0" w:type="dxa"/>
          </w:tblCellMar>
        </w:tblPrEx>
        <w:tc>
          <w:tcPr>
            <w:tcW w:w="629" w:type="pct"/>
          </w:tcPr>
          <w:p w:rsidR="00C569D9" w:rsidRDefault="00C569D9" w:rsidP="003738FB">
            <w:pPr>
              <w:jc w:val="center"/>
              <w:rPr>
                <w:b/>
                <w:sz w:val="16"/>
                <w:szCs w:val="16"/>
                <w:lang w:val="en-CA"/>
              </w:rPr>
            </w:pPr>
            <w:r>
              <w:rPr>
                <w:b/>
                <w:sz w:val="16"/>
                <w:szCs w:val="16"/>
                <w:lang w:val="en-CA"/>
              </w:rPr>
              <w:t>4.6.7A</w:t>
            </w:r>
          </w:p>
        </w:tc>
        <w:tc>
          <w:tcPr>
            <w:tcW w:w="4371" w:type="pct"/>
            <w:gridSpan w:val="12"/>
          </w:tcPr>
          <w:p w:rsidR="00C569D9" w:rsidRPr="007E4AD3" w:rsidRDefault="00C569D9" w:rsidP="003738FB">
            <w:pPr>
              <w:rPr>
                <w:b/>
                <w:sz w:val="16"/>
                <w:szCs w:val="16"/>
                <w:lang w:val="en-CA"/>
              </w:rPr>
            </w:pPr>
            <w:r w:rsidRPr="00C569D9">
              <w:rPr>
                <w:b/>
                <w:sz w:val="16"/>
                <w:szCs w:val="16"/>
                <w:lang w:val="en-CA"/>
              </w:rPr>
              <w:t>Risk Management and Financial Controls</w:t>
            </w:r>
          </w:p>
        </w:tc>
      </w:tr>
      <w:tr w:rsidR="00C569D9" w:rsidRPr="00857FE0" w:rsidTr="007E4AD3">
        <w:tblPrEx>
          <w:tblCellMar>
            <w:top w:w="0" w:type="dxa"/>
            <w:bottom w:w="0" w:type="dxa"/>
          </w:tblCellMar>
        </w:tblPrEx>
        <w:tc>
          <w:tcPr>
            <w:tcW w:w="629" w:type="pct"/>
            <w:vAlign w:val="center"/>
          </w:tcPr>
          <w:p w:rsidR="00C569D9" w:rsidRPr="00B73D92" w:rsidRDefault="00677620">
            <w:pPr>
              <w:jc w:val="center"/>
              <w:rPr>
                <w:sz w:val="16"/>
                <w:szCs w:val="16"/>
              </w:rPr>
            </w:pPr>
            <w:hyperlink r:id="rId9" w:tgtFrame="_blank" w:history="1">
              <w:r w:rsidR="00C569D9" w:rsidRPr="00B73D92">
                <w:rPr>
                  <w:rStyle w:val="Hyperlink"/>
                  <w:color w:val="auto"/>
                  <w:sz w:val="16"/>
                  <w:szCs w:val="16"/>
                  <w:u w:val="none"/>
                </w:rPr>
                <w:t>4.6.7A</w:t>
              </w:r>
            </w:hyperlink>
            <w:r w:rsidR="00C569D9" w:rsidRPr="00B73D92">
              <w:rPr>
                <w:rStyle w:val="me"/>
                <w:sz w:val="16"/>
                <w:szCs w:val="16"/>
              </w:rPr>
              <w:t>(1)(a)</w:t>
            </w:r>
          </w:p>
        </w:tc>
        <w:tc>
          <w:tcPr>
            <w:tcW w:w="630" w:type="pct"/>
            <w:vAlign w:val="center"/>
          </w:tcPr>
          <w:p w:rsidR="00C569D9" w:rsidRPr="00B73D92" w:rsidRDefault="00C569D9" w:rsidP="005F52B1">
            <w:pPr>
              <w:rPr>
                <w:color w:val="333333"/>
                <w:sz w:val="16"/>
                <w:szCs w:val="16"/>
              </w:rPr>
            </w:pPr>
            <w:r w:rsidRPr="00B73D92">
              <w:rPr>
                <w:rStyle w:val="me"/>
                <w:color w:val="333333"/>
                <w:sz w:val="16"/>
                <w:szCs w:val="16"/>
              </w:rPr>
              <w:t>Trading Member to monitor credit risks from acceptance of</w:t>
            </w:r>
            <w:r w:rsidRPr="00B73D92">
              <w:rPr>
                <w:rStyle w:val="me"/>
                <w:color w:val="0070C0"/>
                <w:sz w:val="16"/>
                <w:szCs w:val="16"/>
                <w:u w:val="single"/>
              </w:rPr>
              <w:t xml:space="preserve"> </w:t>
            </w:r>
            <w:r w:rsidRPr="00B73D92">
              <w:rPr>
                <w:rStyle w:val="me"/>
                <w:strike/>
                <w:color w:val="0070C0"/>
                <w:sz w:val="16"/>
                <w:szCs w:val="16"/>
              </w:rPr>
              <w:t xml:space="preserve"> customer</w:t>
            </w:r>
            <w:r w:rsidRPr="00B73D92">
              <w:rPr>
                <w:rStyle w:val="me"/>
                <w:color w:val="0070C0"/>
                <w:sz w:val="16"/>
                <w:szCs w:val="16"/>
              </w:rPr>
              <w:t xml:space="preserve"> </w:t>
            </w:r>
            <w:r w:rsidRPr="00B73D92">
              <w:rPr>
                <w:rStyle w:val="me"/>
                <w:color w:val="333333"/>
                <w:sz w:val="16"/>
                <w:szCs w:val="16"/>
              </w:rPr>
              <w:t>orders at least daily</w:t>
            </w:r>
          </w:p>
        </w:tc>
        <w:tc>
          <w:tcPr>
            <w:tcW w:w="630" w:type="pct"/>
            <w:vAlign w:val="center"/>
          </w:tcPr>
          <w:p w:rsidR="00C569D9" w:rsidRPr="00B73D92" w:rsidRDefault="00C569D9">
            <w:pPr>
              <w:jc w:val="center"/>
              <w:rPr>
                <w:color w:val="333333"/>
                <w:sz w:val="16"/>
                <w:szCs w:val="16"/>
              </w:rPr>
            </w:pPr>
            <w:r w:rsidRPr="00B73D92">
              <w:rPr>
                <w:rStyle w:val="me"/>
                <w:color w:val="333333"/>
                <w:sz w:val="16"/>
                <w:szCs w:val="16"/>
              </w:rPr>
              <w:t>Compoundable</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$2,000 – $4,000</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$4,000 – $7,000</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$7,000 – $10,000</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$1,000 – $3,000</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$3,000 – $6,000</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$6,000 – $8,000</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N.A.</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N.A.</w:t>
            </w:r>
          </w:p>
        </w:tc>
        <w:tc>
          <w:tcPr>
            <w:tcW w:w="303" w:type="pct"/>
            <w:vAlign w:val="center"/>
          </w:tcPr>
          <w:p w:rsidR="00C569D9" w:rsidRPr="00B73D92" w:rsidRDefault="00C569D9">
            <w:pPr>
              <w:jc w:val="center"/>
              <w:rPr>
                <w:color w:val="333333"/>
                <w:sz w:val="16"/>
                <w:szCs w:val="16"/>
              </w:rPr>
            </w:pPr>
            <w:r w:rsidRPr="00B73D92">
              <w:rPr>
                <w:rStyle w:val="me"/>
                <w:color w:val="333333"/>
                <w:sz w:val="16"/>
                <w:szCs w:val="16"/>
              </w:rPr>
              <w:t>N.A.</w:t>
            </w:r>
          </w:p>
        </w:tc>
        <w:tc>
          <w:tcPr>
            <w:tcW w:w="384" w:type="pct"/>
            <w:vAlign w:val="center"/>
          </w:tcPr>
          <w:p w:rsidR="00C569D9" w:rsidRPr="00C569D9" w:rsidRDefault="00C569D9">
            <w:pPr>
              <w:jc w:val="center"/>
              <w:rPr>
                <w:color w:val="333333"/>
                <w:sz w:val="16"/>
                <w:szCs w:val="16"/>
              </w:rPr>
            </w:pPr>
            <w:r w:rsidRPr="00B73D92">
              <w:rPr>
                <w:rStyle w:val="me"/>
                <w:color w:val="333333"/>
                <w:sz w:val="16"/>
                <w:szCs w:val="16"/>
              </w:rPr>
              <w:t>N.A.</w:t>
            </w:r>
          </w:p>
        </w:tc>
      </w:tr>
      <w:tr w:rsidR="00B73D92" w:rsidRPr="00857FE0" w:rsidTr="007E4AD3">
        <w:tblPrEx>
          <w:tblCellMar>
            <w:top w:w="0" w:type="dxa"/>
            <w:bottom w:w="0" w:type="dxa"/>
          </w:tblCellMar>
        </w:tblPrEx>
        <w:tc>
          <w:tcPr>
            <w:tcW w:w="629" w:type="pct"/>
            <w:vAlign w:val="center"/>
          </w:tcPr>
          <w:p w:rsidR="00B73D92" w:rsidRPr="00B73D92" w:rsidRDefault="00677620">
            <w:pPr>
              <w:jc w:val="center"/>
              <w:rPr>
                <w:strike/>
                <w:color w:val="0070C0"/>
                <w:sz w:val="16"/>
                <w:szCs w:val="16"/>
              </w:rPr>
            </w:pPr>
            <w:hyperlink r:id="rId10" w:tgtFrame="_blank" w:history="1">
              <w:r w:rsidR="00B73D92" w:rsidRPr="00B73D92">
                <w:rPr>
                  <w:rStyle w:val="Hyperlink"/>
                  <w:strike/>
                  <w:color w:val="0070C0"/>
                  <w:sz w:val="16"/>
                  <w:szCs w:val="16"/>
                  <w:u w:val="none"/>
                </w:rPr>
                <w:t>4.6.7A</w:t>
              </w:r>
            </w:hyperlink>
            <w:r w:rsidR="00B73D92" w:rsidRPr="00B73D92">
              <w:rPr>
                <w:rStyle w:val="me"/>
                <w:strike/>
                <w:color w:val="0070C0"/>
                <w:sz w:val="16"/>
                <w:szCs w:val="16"/>
              </w:rPr>
              <w:t>(2)</w:t>
            </w:r>
          </w:p>
        </w:tc>
        <w:tc>
          <w:tcPr>
            <w:tcW w:w="630" w:type="pct"/>
            <w:vAlign w:val="center"/>
          </w:tcPr>
          <w:p w:rsidR="00B73D92" w:rsidRPr="00B73D92" w:rsidRDefault="00B73D92">
            <w:pPr>
              <w:rPr>
                <w:strike/>
                <w:color w:val="0070C0"/>
                <w:sz w:val="16"/>
                <w:szCs w:val="16"/>
              </w:rPr>
            </w:pPr>
            <w:r w:rsidRPr="00B73D92">
              <w:rPr>
                <w:rStyle w:val="me"/>
                <w:strike/>
                <w:color w:val="0070C0"/>
                <w:sz w:val="16"/>
                <w:szCs w:val="16"/>
              </w:rPr>
              <w:t>Trading Member to have risk management controls on its own orders</w:t>
            </w:r>
          </w:p>
        </w:tc>
        <w:tc>
          <w:tcPr>
            <w:tcW w:w="630" w:type="pct"/>
            <w:vAlign w:val="center"/>
          </w:tcPr>
          <w:p w:rsidR="00B73D92" w:rsidRPr="00B73D92" w:rsidRDefault="00B73D92">
            <w:pPr>
              <w:jc w:val="center"/>
              <w:rPr>
                <w:strike/>
                <w:color w:val="0070C0"/>
                <w:sz w:val="16"/>
                <w:szCs w:val="16"/>
              </w:rPr>
            </w:pPr>
            <w:r w:rsidRPr="00B73D92">
              <w:rPr>
                <w:rStyle w:val="me"/>
                <w:strike/>
                <w:color w:val="0070C0"/>
                <w:sz w:val="16"/>
                <w:szCs w:val="16"/>
              </w:rPr>
              <w:t>Compoundable</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$2,000 – $4,000</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$4,000 – $7,000</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$7,000 – $10,000</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$1,000 – $3,000</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$3,000 – $6,000</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$6,000 – $8,000</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N.A.</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N.A.</w:t>
            </w:r>
          </w:p>
        </w:tc>
        <w:tc>
          <w:tcPr>
            <w:tcW w:w="303" w:type="pct"/>
            <w:vAlign w:val="center"/>
          </w:tcPr>
          <w:p w:rsidR="00B73D92" w:rsidRPr="00B73D92" w:rsidRDefault="00B73D92">
            <w:pPr>
              <w:jc w:val="center"/>
              <w:rPr>
                <w:strike/>
                <w:color w:val="0070C0"/>
                <w:sz w:val="16"/>
                <w:szCs w:val="16"/>
              </w:rPr>
            </w:pPr>
            <w:r w:rsidRPr="00B73D92">
              <w:rPr>
                <w:rStyle w:val="me"/>
                <w:strike/>
                <w:color w:val="0070C0"/>
                <w:sz w:val="16"/>
                <w:szCs w:val="16"/>
              </w:rPr>
              <w:t>N.A.</w:t>
            </w:r>
          </w:p>
        </w:tc>
        <w:tc>
          <w:tcPr>
            <w:tcW w:w="384" w:type="pct"/>
            <w:vAlign w:val="center"/>
          </w:tcPr>
          <w:p w:rsidR="00B73D92" w:rsidRPr="00B73D92" w:rsidRDefault="00B73D92">
            <w:pPr>
              <w:jc w:val="center"/>
              <w:rPr>
                <w:strike/>
                <w:color w:val="0070C0"/>
                <w:sz w:val="16"/>
                <w:szCs w:val="16"/>
              </w:rPr>
            </w:pPr>
            <w:r w:rsidRPr="00B73D92">
              <w:rPr>
                <w:rStyle w:val="me"/>
                <w:strike/>
                <w:color w:val="0070C0"/>
                <w:sz w:val="16"/>
                <w:szCs w:val="16"/>
              </w:rPr>
              <w:t>N.A.</w:t>
            </w:r>
          </w:p>
        </w:tc>
      </w:tr>
      <w:tr w:rsidR="00B73D92" w:rsidRPr="00857FE0" w:rsidTr="007E4AD3">
        <w:tblPrEx>
          <w:tblCellMar>
            <w:top w:w="0" w:type="dxa"/>
            <w:bottom w:w="0" w:type="dxa"/>
          </w:tblCellMar>
        </w:tblPrEx>
        <w:tc>
          <w:tcPr>
            <w:tcW w:w="629" w:type="pct"/>
            <w:vAlign w:val="center"/>
          </w:tcPr>
          <w:p w:rsidR="00B73D92" w:rsidRPr="00B73D92" w:rsidRDefault="00677620">
            <w:pPr>
              <w:jc w:val="center"/>
              <w:rPr>
                <w:color w:val="333333"/>
                <w:sz w:val="16"/>
                <w:szCs w:val="16"/>
              </w:rPr>
            </w:pPr>
            <w:hyperlink r:id="rId11" w:tgtFrame="_blank" w:history="1">
              <w:r w:rsidR="00B73D92" w:rsidRPr="00B73D92">
                <w:rPr>
                  <w:rStyle w:val="Hyperlink"/>
                  <w:sz w:val="16"/>
                  <w:szCs w:val="16"/>
                  <w:u w:val="none"/>
                </w:rPr>
                <w:t>4.6.7A</w:t>
              </w:r>
            </w:hyperlink>
            <w:r w:rsidR="00B73D92" w:rsidRPr="00B73D92">
              <w:rPr>
                <w:rStyle w:val="me"/>
                <w:strike/>
                <w:color w:val="0070C0"/>
                <w:sz w:val="16"/>
                <w:szCs w:val="16"/>
              </w:rPr>
              <w:t>(3)</w:t>
            </w:r>
            <w:r w:rsidR="00B73D92" w:rsidRPr="00B73D92">
              <w:rPr>
                <w:rStyle w:val="me"/>
                <w:color w:val="0070C0"/>
                <w:sz w:val="16"/>
                <w:szCs w:val="16"/>
                <w:u w:val="single"/>
              </w:rPr>
              <w:t>(2)</w:t>
            </w:r>
          </w:p>
        </w:tc>
        <w:tc>
          <w:tcPr>
            <w:tcW w:w="630" w:type="pct"/>
            <w:vAlign w:val="center"/>
          </w:tcPr>
          <w:p w:rsidR="00B73D92" w:rsidRPr="00B73D92" w:rsidRDefault="00B73D92">
            <w:pPr>
              <w:rPr>
                <w:color w:val="333333"/>
                <w:sz w:val="16"/>
                <w:szCs w:val="16"/>
              </w:rPr>
            </w:pPr>
            <w:r w:rsidRPr="00B73D92">
              <w:rPr>
                <w:rStyle w:val="me"/>
                <w:color w:val="333333"/>
                <w:sz w:val="16"/>
                <w:szCs w:val="16"/>
              </w:rPr>
              <w:t>Trading Member to have automated processes to monitor capital requirements and prudential limits</w:t>
            </w:r>
          </w:p>
        </w:tc>
        <w:tc>
          <w:tcPr>
            <w:tcW w:w="630" w:type="pct"/>
            <w:vAlign w:val="center"/>
          </w:tcPr>
          <w:p w:rsidR="00B73D92" w:rsidRPr="00B73D92" w:rsidRDefault="00B73D92">
            <w:pPr>
              <w:jc w:val="center"/>
              <w:rPr>
                <w:color w:val="333333"/>
                <w:sz w:val="16"/>
                <w:szCs w:val="16"/>
              </w:rPr>
            </w:pPr>
            <w:r w:rsidRPr="00B73D92">
              <w:rPr>
                <w:rStyle w:val="me"/>
                <w:color w:val="333333"/>
                <w:sz w:val="16"/>
                <w:szCs w:val="16"/>
              </w:rPr>
              <w:t>Compoundable</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$2,000 – $4,000</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$4,000 – $7,000</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$7,000 – $10,000</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$1,000 – $3,000</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$3,000 – $6,000</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$6,000 – $8,000</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N.A.</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N.A.</w:t>
            </w:r>
          </w:p>
        </w:tc>
        <w:tc>
          <w:tcPr>
            <w:tcW w:w="303" w:type="pct"/>
            <w:vAlign w:val="center"/>
          </w:tcPr>
          <w:p w:rsidR="00B73D92" w:rsidRPr="00B73D92" w:rsidRDefault="00B73D92">
            <w:pPr>
              <w:jc w:val="center"/>
              <w:rPr>
                <w:color w:val="333333"/>
                <w:sz w:val="16"/>
                <w:szCs w:val="16"/>
              </w:rPr>
            </w:pPr>
            <w:r w:rsidRPr="00B73D92">
              <w:rPr>
                <w:rStyle w:val="me"/>
                <w:color w:val="333333"/>
                <w:sz w:val="16"/>
                <w:szCs w:val="16"/>
              </w:rPr>
              <w:t>N.A.</w:t>
            </w:r>
          </w:p>
        </w:tc>
        <w:tc>
          <w:tcPr>
            <w:tcW w:w="384" w:type="pct"/>
            <w:vAlign w:val="center"/>
          </w:tcPr>
          <w:p w:rsidR="00B73D92" w:rsidRPr="00B73D92" w:rsidRDefault="00B73D92">
            <w:pPr>
              <w:jc w:val="center"/>
              <w:rPr>
                <w:color w:val="333333"/>
                <w:sz w:val="16"/>
                <w:szCs w:val="16"/>
              </w:rPr>
            </w:pPr>
            <w:r w:rsidRPr="00B73D92">
              <w:rPr>
                <w:rStyle w:val="me"/>
                <w:color w:val="333333"/>
                <w:sz w:val="16"/>
                <w:szCs w:val="16"/>
              </w:rPr>
              <w:t>N.A.</w:t>
            </w:r>
          </w:p>
        </w:tc>
      </w:tr>
    </w:tbl>
    <w:p w:rsidR="00502B5B" w:rsidRDefault="00502B5B" w:rsidP="00682392">
      <w:pPr>
        <w:rPr>
          <w:sz w:val="22"/>
          <w:szCs w:val="22"/>
        </w:rPr>
      </w:pPr>
    </w:p>
    <w:sectPr w:rsidR="00502B5B" w:rsidSect="00111679">
      <w:pgSz w:w="16839" w:h="11907"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2A4" w:rsidRDefault="004612A4" w:rsidP="00EB4A0F">
      <w:pPr>
        <w:spacing w:after="0" w:line="240" w:lineRule="auto"/>
      </w:pPr>
      <w:r>
        <w:separator/>
      </w:r>
    </w:p>
  </w:endnote>
  <w:endnote w:type="continuationSeparator" w:id="0">
    <w:p w:rsidR="004612A4" w:rsidRDefault="004612A4" w:rsidP="00EB4A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10BE" w:rsidRPr="000A2C46" w:rsidRDefault="00C510BE" w:rsidP="000F287E">
    <w:pPr>
      <w:pStyle w:val="Footer"/>
      <w:rPr>
        <w:b/>
        <w:sz w:val="18"/>
        <w:szCs w:val="18"/>
      </w:rPr>
    </w:pPr>
    <w:r w:rsidRPr="000A2C46">
      <w:rPr>
        <w:b/>
        <w:sz w:val="18"/>
        <w:szCs w:val="18"/>
      </w:rPr>
      <w:t>Legend:</w:t>
    </w:r>
  </w:p>
  <w:p w:rsidR="00C510BE" w:rsidRDefault="0086525B" w:rsidP="000F287E">
    <w:pPr>
      <w:pStyle w:val="Footer"/>
      <w:rPr>
        <w:sz w:val="18"/>
        <w:szCs w:val="18"/>
      </w:rPr>
    </w:pPr>
    <w:r>
      <w:rPr>
        <w:color w:val="0070C0"/>
        <w:sz w:val="18"/>
        <w:szCs w:val="18"/>
        <w:u w:val="single"/>
      </w:rPr>
      <w:t>U</w:t>
    </w:r>
    <w:r w:rsidR="00C510BE" w:rsidRPr="000A2C46">
      <w:rPr>
        <w:color w:val="0070C0"/>
        <w:sz w:val="18"/>
        <w:szCs w:val="18"/>
        <w:u w:val="single"/>
      </w:rPr>
      <w:t>nderlined</w:t>
    </w:r>
    <w:r w:rsidR="00C510BE">
      <w:rPr>
        <w:sz w:val="18"/>
        <w:szCs w:val="18"/>
      </w:rPr>
      <w:t xml:space="preserve"> – insertions</w:t>
    </w:r>
  </w:p>
  <w:p w:rsidR="00C510BE" w:rsidRDefault="0086525B" w:rsidP="000F287E">
    <w:pPr>
      <w:pStyle w:val="Footer"/>
      <w:rPr>
        <w:sz w:val="18"/>
        <w:szCs w:val="18"/>
      </w:rPr>
    </w:pPr>
    <w:proofErr w:type="spellStart"/>
    <w:r>
      <w:rPr>
        <w:strike/>
        <w:color w:val="0070C0"/>
        <w:sz w:val="18"/>
        <w:szCs w:val="18"/>
      </w:rPr>
      <w:t>S</w:t>
    </w:r>
    <w:r w:rsidR="00C510BE" w:rsidRPr="000A2C46">
      <w:rPr>
        <w:strike/>
        <w:color w:val="0070C0"/>
        <w:sz w:val="18"/>
        <w:szCs w:val="18"/>
      </w:rPr>
      <w:t>truckthrough</w:t>
    </w:r>
    <w:proofErr w:type="spellEnd"/>
    <w:r w:rsidR="00C510BE">
      <w:rPr>
        <w:sz w:val="18"/>
        <w:szCs w:val="18"/>
      </w:rPr>
      <w:t xml:space="preserve"> – deletions</w:t>
    </w:r>
  </w:p>
  <w:p w:rsidR="00C510BE" w:rsidRDefault="00E540E1" w:rsidP="001C13E9">
    <w:pPr>
      <w:pStyle w:val="Footer"/>
      <w:jc w:val="right"/>
    </w:pPr>
    <w:r>
      <w:fldChar w:fldCharType="begin"/>
    </w:r>
    <w:r w:rsidR="00C510BE">
      <w:instrText xml:space="preserve"> PAGE   \* MERGEFORMAT </w:instrText>
    </w:r>
    <w:r>
      <w:fldChar w:fldCharType="separate"/>
    </w:r>
    <w:r w:rsidR="00677620">
      <w:rPr>
        <w:noProof/>
      </w:rPr>
      <w:t>4</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2A4" w:rsidRDefault="004612A4" w:rsidP="00EB4A0F">
      <w:pPr>
        <w:spacing w:after="0" w:line="240" w:lineRule="auto"/>
      </w:pPr>
      <w:r>
        <w:separator/>
      </w:r>
    </w:p>
  </w:footnote>
  <w:footnote w:type="continuationSeparator" w:id="0">
    <w:p w:rsidR="004612A4" w:rsidRDefault="004612A4" w:rsidP="00EB4A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120" w:rsidRPr="00766120" w:rsidRDefault="00766120" w:rsidP="00766120">
    <w:pPr>
      <w:pStyle w:val="Header"/>
      <w:jc w:val="right"/>
      <w:rPr>
        <w:u w:val="single"/>
        <w:lang w:val="en-CA"/>
      </w:rPr>
    </w:pPr>
    <w:r w:rsidRPr="00766120">
      <w:rPr>
        <w:u w:val="single"/>
        <w:lang w:val="en-CA"/>
      </w:rPr>
      <w:t>Appendix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652"/>
    <w:rsid w:val="000B102A"/>
    <w:rsid w:val="000F287E"/>
    <w:rsid w:val="00111679"/>
    <w:rsid w:val="001C13E9"/>
    <w:rsid w:val="00251943"/>
    <w:rsid w:val="002F58F8"/>
    <w:rsid w:val="003230D5"/>
    <w:rsid w:val="0036795E"/>
    <w:rsid w:val="00373B5F"/>
    <w:rsid w:val="003C6E88"/>
    <w:rsid w:val="004612A4"/>
    <w:rsid w:val="00462BB2"/>
    <w:rsid w:val="00502B5B"/>
    <w:rsid w:val="00551C3E"/>
    <w:rsid w:val="005F52B1"/>
    <w:rsid w:val="005F53F1"/>
    <w:rsid w:val="00677620"/>
    <w:rsid w:val="00681652"/>
    <w:rsid w:val="00682392"/>
    <w:rsid w:val="007423D6"/>
    <w:rsid w:val="0074304F"/>
    <w:rsid w:val="00766120"/>
    <w:rsid w:val="00792D1C"/>
    <w:rsid w:val="007D5960"/>
    <w:rsid w:val="007E4AD3"/>
    <w:rsid w:val="007F5E5B"/>
    <w:rsid w:val="008114D6"/>
    <w:rsid w:val="00844E1F"/>
    <w:rsid w:val="0086525B"/>
    <w:rsid w:val="00902B70"/>
    <w:rsid w:val="00B73D92"/>
    <w:rsid w:val="00B8340B"/>
    <w:rsid w:val="00B93911"/>
    <w:rsid w:val="00BC702E"/>
    <w:rsid w:val="00BD3E20"/>
    <w:rsid w:val="00BD54E8"/>
    <w:rsid w:val="00C45A2D"/>
    <w:rsid w:val="00C510BE"/>
    <w:rsid w:val="00C569D9"/>
    <w:rsid w:val="00C94269"/>
    <w:rsid w:val="00CB0C47"/>
    <w:rsid w:val="00E06F30"/>
    <w:rsid w:val="00E50FFA"/>
    <w:rsid w:val="00E540E1"/>
    <w:rsid w:val="00E8490F"/>
    <w:rsid w:val="00E84940"/>
    <w:rsid w:val="00EB4A0F"/>
    <w:rsid w:val="00EF3AF0"/>
    <w:rsid w:val="00F34714"/>
    <w:rsid w:val="00F45051"/>
    <w:rsid w:val="00F93184"/>
    <w:rsid w:val="00FA7FFD"/>
    <w:rsid w:val="00FF2B7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 w:type="character" w:styleId="Hyperlink">
    <w:name w:val="Hyperlink"/>
    <w:basedOn w:val="DefaultParagraphFont"/>
    <w:uiPriority w:val="99"/>
    <w:semiHidden/>
    <w:unhideWhenUsed/>
    <w:rsid w:val="00C569D9"/>
    <w:rPr>
      <w:color w:val="233288"/>
      <w:u w:val="single"/>
    </w:rPr>
  </w:style>
  <w:style w:type="character" w:customStyle="1" w:styleId="me">
    <w:name w:val="me"/>
    <w:basedOn w:val="DefaultParagraphFont"/>
    <w:rsid w:val="00C569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1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EB4A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4A0F"/>
  </w:style>
  <w:style w:type="paragraph" w:styleId="Footer">
    <w:name w:val="footer"/>
    <w:basedOn w:val="Normal"/>
    <w:link w:val="FooterChar"/>
    <w:uiPriority w:val="99"/>
    <w:unhideWhenUsed/>
    <w:rsid w:val="00EB4A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4A0F"/>
  </w:style>
  <w:style w:type="paragraph" w:styleId="BalloonText">
    <w:name w:val="Balloon Text"/>
    <w:basedOn w:val="Normal"/>
    <w:link w:val="BalloonTextChar"/>
    <w:uiPriority w:val="99"/>
    <w:semiHidden/>
    <w:unhideWhenUsed/>
    <w:rsid w:val="000F28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87E"/>
    <w:rPr>
      <w:rFonts w:ascii="Tahoma" w:hAnsi="Tahoma" w:cs="Tahoma"/>
      <w:sz w:val="16"/>
      <w:szCs w:val="16"/>
    </w:rPr>
  </w:style>
  <w:style w:type="character" w:styleId="Hyperlink">
    <w:name w:val="Hyperlink"/>
    <w:basedOn w:val="DefaultParagraphFont"/>
    <w:uiPriority w:val="99"/>
    <w:semiHidden/>
    <w:unhideWhenUsed/>
    <w:rsid w:val="00C569D9"/>
    <w:rPr>
      <w:color w:val="233288"/>
      <w:u w:val="single"/>
    </w:rPr>
  </w:style>
  <w:style w:type="character" w:customStyle="1" w:styleId="me">
    <w:name w:val="me"/>
    <w:basedOn w:val="DefaultParagraphFont"/>
    <w:rsid w:val="00C569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rulebook.sgx.com/en/display/display.html?rbid=3271&amp;element_id=5969" TargetMode="External"/><Relationship Id="rId5" Type="http://schemas.openxmlformats.org/officeDocument/2006/relationships/footnotes" Target="footnotes.xml"/><Relationship Id="rId10" Type="http://schemas.openxmlformats.org/officeDocument/2006/relationships/hyperlink" Target="http://rulebook.sgx.com/en/display/display.html?rbid=3271&amp;element_id=5969" TargetMode="External"/><Relationship Id="rId4" Type="http://schemas.openxmlformats.org/officeDocument/2006/relationships/webSettings" Target="webSettings.xml"/><Relationship Id="rId9" Type="http://schemas.openxmlformats.org/officeDocument/2006/relationships/hyperlink" Target="http://rulebook.sgx.com/en/display/display.html?rbid=3271&amp;element_id=59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942</Words>
  <Characters>5374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Singapore Exchange Limited</Company>
  <LinksUpToDate>false</LinksUpToDate>
  <CharactersWithSpaces>6304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LSL</dc:creator>
  <cp:lastModifiedBy> LSL</cp:lastModifiedBy>
  <cp:revision>13</cp:revision>
  <cp:lastPrinted>2012-11-29T06:11:00Z</cp:lastPrinted>
  <dcterms:created xsi:type="dcterms:W3CDTF">2013-02-20T05:38:00Z</dcterms:created>
  <dcterms:modified xsi:type="dcterms:W3CDTF">2013-02-27T08:21:00Z</dcterms:modified>
</cp:coreProperties>
</file>