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074" w:rsidRPr="00044074" w:rsidRDefault="00044074" w:rsidP="004D4C7A">
      <w:pPr>
        <w:spacing w:line="240" w:lineRule="auto"/>
        <w:ind w:left="2160" w:hanging="2160"/>
        <w:outlineLvl w:val="1"/>
        <w:rPr>
          <w:rFonts w:ascii="Arial" w:eastAsia="Times New Roman" w:hAnsi="Arial" w:cs="Arial"/>
          <w:b/>
          <w:color w:val="4D4D4D"/>
          <w:sz w:val="20"/>
          <w:szCs w:val="20"/>
        </w:rPr>
      </w:pPr>
      <w:bookmarkStart w:id="0" w:name="_GoBack"/>
      <w:bookmarkEnd w:id="0"/>
      <w:r w:rsidRPr="00044074">
        <w:rPr>
          <w:rFonts w:ascii="Arial" w:eastAsia="Times New Roman" w:hAnsi="Arial" w:cs="Arial"/>
          <w:b/>
          <w:sz w:val="20"/>
          <w:szCs w:val="20"/>
        </w:rPr>
        <w:t xml:space="preserve">Directive No. 1 </w:t>
      </w:r>
      <w:r w:rsidR="004D4C7A">
        <w:rPr>
          <w:rFonts w:ascii="Arial" w:eastAsia="Times New Roman" w:hAnsi="Arial" w:cs="Arial"/>
          <w:b/>
          <w:color w:val="4D4D4D"/>
          <w:sz w:val="20"/>
          <w:szCs w:val="20"/>
        </w:rPr>
        <w:tab/>
      </w:r>
      <w:r w:rsidRPr="00044074">
        <w:rPr>
          <w:rFonts w:ascii="Arial" w:eastAsia="Times New Roman" w:hAnsi="Arial" w:cs="Arial"/>
          <w:b/>
          <w:strike/>
          <w:color w:val="FF0000"/>
          <w:sz w:val="20"/>
          <w:szCs w:val="20"/>
        </w:rPr>
        <w:t>Requirement for Clearing Members Clearing OTC Commodity Contracts for U.S. Persons to Issue Disclosure Statement</w:t>
      </w:r>
      <w:r w:rsidR="004D4C7A" w:rsidRPr="004D4C7A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</w:t>
      </w:r>
      <w:r w:rsidR="004D4C7A" w:rsidRPr="004D4C7A">
        <w:rPr>
          <w:rFonts w:ascii="Arial" w:eastAsia="Times New Roman" w:hAnsi="Arial" w:cs="Arial"/>
          <w:b/>
          <w:color w:val="0000FF"/>
          <w:sz w:val="20"/>
          <w:szCs w:val="20"/>
          <w:u w:val="single"/>
        </w:rPr>
        <w:t>[Directive has been revoked]</w:t>
      </w:r>
      <w:r w:rsidRPr="00044074">
        <w:rPr>
          <w:rFonts w:ascii="Arial" w:eastAsia="Times New Roman" w:hAnsi="Arial" w:cs="Arial"/>
          <w:b/>
          <w:color w:val="4D4D4D"/>
          <w:sz w:val="20"/>
          <w:szCs w:val="20"/>
        </w:rPr>
        <w:br/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66"/>
        <w:gridCol w:w="1657"/>
        <w:gridCol w:w="3490"/>
      </w:tblGrid>
      <w:tr w:rsidR="004D4C7A" w:rsidRPr="004D4C7A" w:rsidTr="00044074">
        <w:trPr>
          <w:tblCellSpacing w:w="7" w:type="dxa"/>
        </w:trPr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4074" w:rsidRPr="00044074" w:rsidRDefault="00044074" w:rsidP="000440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trike/>
                <w:color w:val="FF0000"/>
                <w:sz w:val="20"/>
                <w:szCs w:val="20"/>
              </w:rPr>
            </w:pPr>
            <w:r w:rsidRPr="00044074">
              <w:rPr>
                <w:rFonts w:ascii="Arial" w:eastAsia="Times New Roman" w:hAnsi="Arial" w:cs="Arial"/>
                <w:b/>
                <w:bCs/>
                <w:strike/>
                <w:color w:val="FF0000"/>
                <w:sz w:val="20"/>
                <w:szCs w:val="20"/>
              </w:rPr>
              <w:t xml:space="preserve">Dates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4074" w:rsidRPr="00044074" w:rsidRDefault="00044074" w:rsidP="000440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trike/>
                <w:color w:val="FF0000"/>
                <w:sz w:val="20"/>
                <w:szCs w:val="20"/>
              </w:rPr>
            </w:pPr>
            <w:r w:rsidRPr="00044074">
              <w:rPr>
                <w:rFonts w:ascii="Arial" w:eastAsia="Times New Roman" w:hAnsi="Arial" w:cs="Arial"/>
                <w:b/>
                <w:bCs/>
                <w:strike/>
                <w:color w:val="FF0000"/>
                <w:sz w:val="20"/>
                <w:szCs w:val="20"/>
              </w:rPr>
              <w:t xml:space="preserve">Cross Reference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4074" w:rsidRPr="00044074" w:rsidRDefault="00044074" w:rsidP="000440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trike/>
                <w:color w:val="FF0000"/>
                <w:sz w:val="20"/>
                <w:szCs w:val="20"/>
              </w:rPr>
            </w:pPr>
            <w:r w:rsidRPr="00044074">
              <w:rPr>
                <w:rFonts w:ascii="Arial" w:eastAsia="Times New Roman" w:hAnsi="Arial" w:cs="Arial"/>
                <w:b/>
                <w:bCs/>
                <w:strike/>
                <w:color w:val="FF0000"/>
                <w:sz w:val="20"/>
                <w:szCs w:val="20"/>
              </w:rPr>
              <w:t xml:space="preserve">Enquiries </w:t>
            </w:r>
          </w:p>
        </w:tc>
      </w:tr>
      <w:tr w:rsidR="004D4C7A" w:rsidRPr="004D4C7A" w:rsidTr="00044074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44074" w:rsidRPr="00044074" w:rsidRDefault="00044074" w:rsidP="00044074">
            <w:pPr>
              <w:spacing w:after="0" w:line="240" w:lineRule="auto"/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</w:pP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t xml:space="preserve">Issue Date </w:t>
            </w:r>
            <w:hyperlink r:id="rId6" w:tgtFrame="_blank" w:history="1">
              <w:r w:rsidRPr="004D4C7A">
                <w:rPr>
                  <w:rFonts w:ascii="Arial" w:eastAsia="Times New Roman" w:hAnsi="Arial" w:cs="Arial"/>
                  <w:strike/>
                  <w:color w:val="FF0000"/>
                  <w:sz w:val="20"/>
                  <w:szCs w:val="20"/>
                  <w:u w:val="single"/>
                </w:rPr>
                <w:t>31 December 2012</w:t>
              </w:r>
            </w:hyperlink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</w: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  <w:t>Effective Date 31 December 2012</w:t>
            </w: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</w: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  <w:t xml:space="preserve">Amended on </w:t>
            </w:r>
            <w:hyperlink r:id="rId7" w:tgtFrame="_blank" w:history="1">
              <w:r w:rsidRPr="004D4C7A">
                <w:rPr>
                  <w:rFonts w:ascii="Arial" w:eastAsia="Times New Roman" w:hAnsi="Arial" w:cs="Arial"/>
                  <w:strike/>
                  <w:color w:val="FF0000"/>
                  <w:sz w:val="20"/>
                  <w:szCs w:val="20"/>
                  <w:u w:val="single"/>
                </w:rPr>
                <w:t>31 December 2013</w:t>
              </w:r>
            </w:hyperlink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t xml:space="preserve"> and </w:t>
            </w:r>
            <w:hyperlink r:id="rId8" w:tgtFrame="_blank" w:history="1">
              <w:r w:rsidRPr="004D4C7A">
                <w:rPr>
                  <w:rFonts w:ascii="Arial" w:eastAsia="Times New Roman" w:hAnsi="Arial" w:cs="Arial"/>
                  <w:strike/>
                  <w:color w:val="FF0000"/>
                  <w:sz w:val="20"/>
                  <w:szCs w:val="20"/>
                  <w:u w:val="single"/>
                </w:rPr>
                <w:t>21 April 2014</w:t>
              </w:r>
            </w:hyperlink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44074" w:rsidRPr="00044074" w:rsidRDefault="00044074" w:rsidP="00044074">
            <w:pPr>
              <w:spacing w:after="0" w:line="240" w:lineRule="auto"/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44074" w:rsidRPr="00044074" w:rsidRDefault="00044074" w:rsidP="00044074">
            <w:pPr>
              <w:spacing w:after="0" w:line="240" w:lineRule="auto"/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</w:pP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t>Please contact Member Supervision: —</w:t>
            </w: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</w: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  <w:t>Facsimile No : 6538 8273</w:t>
            </w:r>
            <w:r w:rsidRPr="00044074">
              <w:rPr>
                <w:rFonts w:ascii="Arial" w:eastAsia="Times New Roman" w:hAnsi="Arial" w:cs="Arial"/>
                <w:strike/>
                <w:color w:val="FF0000"/>
                <w:sz w:val="20"/>
                <w:szCs w:val="20"/>
              </w:rPr>
              <w:br/>
              <w:t xml:space="preserve">E-Mail Address: </w:t>
            </w:r>
            <w:hyperlink r:id="rId9" w:history="1">
              <w:r w:rsidRPr="004D4C7A">
                <w:rPr>
                  <w:rFonts w:ascii="Arial" w:eastAsia="Times New Roman" w:hAnsi="Arial" w:cs="Arial"/>
                  <w:strike/>
                  <w:color w:val="FF0000"/>
                  <w:sz w:val="20"/>
                  <w:szCs w:val="20"/>
                  <w:u w:val="single"/>
                </w:rPr>
                <w:t>membersup@sgx.com</w:t>
              </w:r>
            </w:hyperlink>
          </w:p>
        </w:tc>
      </w:tr>
    </w:tbl>
    <w:p w:rsidR="00044074" w:rsidRPr="00044074" w:rsidRDefault="00044074" w:rsidP="00044074">
      <w:pPr>
        <w:spacing w:before="100" w:beforeAutospacing="1" w:after="100" w:afterAutospacing="1" w:line="240" w:lineRule="auto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 xml:space="preserve">1 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ab/>
        <w:t>Background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1.1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Singapore Exchange Derivatives Clearing Limited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SGX-DC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 refers to certain provisions of the U.S. Commodity Exchange Act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CEA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"), introduced in accordance with the Dodd-Frank Act, which came into effect on 12 October 2012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New U.S. Laws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"). This included the definition of the term "swap".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1.2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Section 5b(a) of the CEA makes it unlawful for any clearing </w:t>
      </w:r>
      <w:proofErr w:type="spellStart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organisation</w:t>
      </w:r>
      <w:proofErr w:type="spellEnd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to clear swaps for a U.S. person if it is not registered (or otherwise exempt) as a derivatives clearing </w:t>
      </w:r>
      <w:proofErr w:type="spellStart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organisation</w:t>
      </w:r>
      <w:proofErr w:type="spellEnd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DCO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"). As a result of this, SGX-DC is required to comply with the DCO registration requirements under CEA Section </w:t>
      </w:r>
      <w:proofErr w:type="gramStart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5b(</w:t>
      </w:r>
      <w:proofErr w:type="gramEnd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a). SGX-DC will be registered as a DCO as at 31 December 2013.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1.3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Further, Clearing Members clearing through SGX-DC on behalf of U.S. persons would be required to comply with futures commission merchant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FCM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 registration requirements under CEA Section 4d(f)(1). CEA Section 4d(f)(1) provides that it is unlawful for any person to accept margins on behalf of a U.S. swaps customer to secure a swap cleared through a DCO unless that person is registered with the Commodity Futures Trading Commission (the 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Commission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 as an FCM.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1.4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SGX-DC currently clears OTC commodity contracts through its Clearing Members and for U.S. persons, some of which fall within the swap definition under the New U.S. Laws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OTC Commodity Contracts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").</w:t>
      </w:r>
    </w:p>
    <w:p w:rsidR="00044074" w:rsidRPr="00044074" w:rsidRDefault="00044074" w:rsidP="00044074">
      <w:pPr>
        <w:spacing w:before="100" w:beforeAutospacing="1" w:after="100" w:afterAutospacing="1"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 xml:space="preserve">2 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ab/>
        <w:t>No-Action Relief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2.1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On 21 December 2012, SGX-DC submitted a letter of request ("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Request Letter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") to the Commission for no-action relief from, among other things, CEA Section 4d(f)(1) in respect of SGX-DC Clearing Members clearing OTC Commodity Contracts ("the 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Relief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"). A copy of SGX-DC's Request Letter is attached as </w:t>
      </w:r>
      <w:hyperlink r:id="rId10" w:tgtFrame="_blank" w:history="1">
        <w:r w:rsidRPr="004D4C7A">
          <w:rPr>
            <w:rFonts w:ascii="Arial" w:eastAsia="Times New Roman" w:hAnsi="Arial" w:cs="Arial"/>
            <w:strike/>
            <w:color w:val="FF0000"/>
            <w:sz w:val="20"/>
            <w:szCs w:val="20"/>
            <w:u w:val="single"/>
          </w:rPr>
          <w:t>Appendix 1</w:t>
        </w:r>
      </w:hyperlink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2.2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The Relief was initially granted by the Commission on 21 December 2012.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On 20 December 2013, the Commission extended the Relief until 31 March 2014. Copies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of the Commission's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letters are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attached as </w:t>
      </w:r>
      <w:hyperlink r:id="rId11" w:tgtFrame="_blank" w:history="1">
        <w:r w:rsidRPr="004D4C7A">
          <w:rPr>
            <w:rFonts w:ascii="Arial" w:eastAsia="Times New Roman" w:hAnsi="Arial" w:cs="Arial"/>
            <w:strike/>
            <w:color w:val="FF0000"/>
            <w:sz w:val="20"/>
            <w:szCs w:val="20"/>
            <w:u w:val="single"/>
          </w:rPr>
          <w:t>Appendix 2</w:t>
        </w:r>
      </w:hyperlink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and </w:t>
      </w:r>
      <w:hyperlink r:id="rId12" w:tgtFrame="_blank" w:history="1">
        <w:r w:rsidRPr="004D4C7A">
          <w:rPr>
            <w:rFonts w:ascii="Arial" w:eastAsia="Times New Roman" w:hAnsi="Arial" w:cs="Arial"/>
            <w:strike/>
            <w:color w:val="FF0000"/>
            <w:sz w:val="20"/>
            <w:szCs w:val="20"/>
            <w:u w:val="single"/>
          </w:rPr>
          <w:t>Appendix 3</w:t>
        </w:r>
      </w:hyperlink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2.3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On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28 March 2014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, the Commission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further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extended the Relief until the earlier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of (a) 30 April 2014 or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(b) the date upon which all OTC Commodity Contracts positions of Affected U.S. Persons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  <w:vertAlign w:val="superscript"/>
        </w:rPr>
        <w:t>1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and FCM customers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have either been closed or transferred to an FCM Clearing Member. After such date, SGX-DC may not clear for Affected U.S. Persons or other U.S. customers unless such customers clear through an FCM Clearing Member. A copy of the Commission's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further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extension letter is attached as </w:t>
      </w:r>
      <w:hyperlink r:id="rId13" w:tgtFrame="_blank" w:history="1">
        <w:r w:rsidRPr="004D4C7A">
          <w:rPr>
            <w:rFonts w:ascii="Arial" w:eastAsia="Times New Roman" w:hAnsi="Arial" w:cs="Arial"/>
            <w:strike/>
            <w:color w:val="FF0000"/>
            <w:sz w:val="20"/>
            <w:szCs w:val="20"/>
            <w:u w:val="single"/>
          </w:rPr>
          <w:t>Appendix 4</w:t>
        </w:r>
      </w:hyperlink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lastRenderedPageBreak/>
        <w:t xml:space="preserve">2.4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The Relief permits non-FCM Clearing Members to continue carrying existing positions in OTC Commodity Contracts for Affected U.S. Persons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or on behalf of FCM customers clearing through an FCM omnibus customer account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until the expiration of the Relief.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2.5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With respect to new positions in OTC Commodity Contracts, only positions entered into for the purpose of offsetting existing positions of Affected U.S. Persons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or on behalf of FCM customers clearing through an FCM omnibus customer account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may be cleared. It is noted that such offsetting transactions shall be cleared by SGX-DC in accordance with the straight-through processing requirements under the Commission's regulations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  <w:vertAlign w:val="superscript"/>
        </w:rPr>
        <w:t>2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.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2.6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The Relief has been granted on the condition that Clearing Members issue to Affected U.S. Persons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and any FCM that maintains an FCM omnibus customer account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a disclosure statement as specified in section 3 below (the "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Disclosure Statement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").</w:t>
      </w:r>
    </w:p>
    <w:p w:rsidR="00044074" w:rsidRPr="00044074" w:rsidRDefault="00044074" w:rsidP="00044074">
      <w:pPr>
        <w:spacing w:before="100" w:beforeAutospacing="1" w:after="100" w:afterAutospacing="1"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 xml:space="preserve">3 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ab/>
        <w:t>Disclosure Statement Requirement</w:t>
      </w:r>
    </w:p>
    <w:p w:rsidR="00044074" w:rsidRPr="00044074" w:rsidRDefault="00044074" w:rsidP="00044074">
      <w:pPr>
        <w:spacing w:after="0"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3.1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SGX-DC hereby directs Clearing Members who clear OTC Commodity Contracts for Affected U.S. Persons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or FCM customers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to issue a Disclosure Statement to such customers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or to the FCM, as the case may be,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that prominently states the following statements: </w:t>
      </w:r>
    </w:p>
    <w:p w:rsidR="00044074" w:rsidRPr="004D4C7A" w:rsidRDefault="00044074" w:rsidP="00044074">
      <w:pPr>
        <w:spacing w:line="240" w:lineRule="auto"/>
        <w:ind w:left="144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</w:p>
    <w:p w:rsidR="00044074" w:rsidRPr="00044074" w:rsidRDefault="00044074" w:rsidP="00044074">
      <w:pPr>
        <w:spacing w:line="240" w:lineRule="auto"/>
        <w:ind w:left="144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(a)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proofErr w:type="gramStart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accounts</w:t>
      </w:r>
      <w:proofErr w:type="gramEnd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holding customer positions in OTC Commodity Contracts and related customer property are not subject to Section 4d(f) of the CEA; </w:t>
      </w:r>
    </w:p>
    <w:p w:rsidR="00044074" w:rsidRPr="00044074" w:rsidRDefault="00044074" w:rsidP="00044074">
      <w:pPr>
        <w:spacing w:line="240" w:lineRule="auto"/>
        <w:ind w:left="144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(b)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proofErr w:type="gramStart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such</w:t>
      </w:r>
      <w:proofErr w:type="gramEnd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positions and related property will not be subject to, and therefore will not receive the protections of, Subchapter IV of Chapter 7 of the U.S. Bankruptcy Code and Part 190 of the Commission's regulations; </w:t>
      </w:r>
    </w:p>
    <w:p w:rsidR="00044074" w:rsidRPr="00044074" w:rsidRDefault="00044074" w:rsidP="00044074">
      <w:pPr>
        <w:spacing w:line="240" w:lineRule="auto"/>
        <w:ind w:left="144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(c)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the treatment of the customer positions and related property in the event of an insolvency proceeding of SGX-DC or any of its Clearing Members will be subject to Singapore's laws; and </w:t>
      </w:r>
    </w:p>
    <w:p w:rsidR="00044074" w:rsidRPr="00044074" w:rsidRDefault="00044074" w:rsidP="00044074">
      <w:pPr>
        <w:spacing w:line="240" w:lineRule="auto"/>
        <w:ind w:left="144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(d)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proofErr w:type="gramStart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>the</w:t>
      </w:r>
      <w:proofErr w:type="gramEnd"/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positions cleared by the Clearing Members on behalf of such customers are subject to the terms of the Relief, which is available for reference on SGX-DC's website as </w:t>
      </w:r>
      <w:hyperlink r:id="rId14" w:tgtFrame="_blank" w:history="1">
        <w:r w:rsidRPr="004D4C7A">
          <w:rPr>
            <w:rFonts w:ascii="Arial" w:eastAsia="Times New Roman" w:hAnsi="Arial" w:cs="Arial"/>
            <w:strike/>
            <w:color w:val="FF0000"/>
            <w:sz w:val="20"/>
            <w:szCs w:val="20"/>
            <w:u w:val="single"/>
          </w:rPr>
          <w:t>Appendix 4</w:t>
        </w:r>
      </w:hyperlink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to Directive No. 1 in SGX-DC's Clearing Rules. </w:t>
      </w:r>
    </w:p>
    <w:p w:rsidR="00044074" w:rsidRPr="00044074" w:rsidRDefault="00044074" w:rsidP="00044074">
      <w:pPr>
        <w:spacing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3.2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ab/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SGX-DC directs all Clearing Members clearing OTC Commodity Contracts for Affected U.S. Persons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or FCM customers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to issue the Disclosure Statement to the Affected U.S. Persons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or the relevant FCM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as soon as </w:t>
      </w:r>
      <w:r w:rsidRPr="004D4C7A">
        <w:rPr>
          <w:rFonts w:ascii="Arial" w:eastAsia="Times New Roman" w:hAnsi="Arial" w:cs="Arial"/>
          <w:strike/>
          <w:color w:val="FF0000"/>
          <w:sz w:val="20"/>
          <w:szCs w:val="20"/>
        </w:rPr>
        <w:t>practicable.</w:t>
      </w:r>
    </w:p>
    <w:p w:rsidR="00044074" w:rsidRPr="00044074" w:rsidRDefault="004B12AA" w:rsidP="00044074">
      <w:pPr>
        <w:spacing w:after="0" w:line="240" w:lineRule="auto"/>
        <w:ind w:left="720" w:hanging="720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4B12AA">
        <w:rPr>
          <w:rFonts w:ascii="Arial" w:eastAsia="Times New Roman" w:hAnsi="Arial" w:cs="Arial"/>
          <w:strike/>
          <w:color w:val="FF0000"/>
          <w:sz w:val="20"/>
          <w:szCs w:val="20"/>
        </w:rPr>
        <w:pict>
          <v:rect id="_x0000_i1025" style="width:0;height:.75pt" o:hralign="center" o:hrstd="t" o:hrnoshade="t" o:hr="t" fillcolor="#aaa" stroked="f"/>
        </w:pict>
      </w:r>
    </w:p>
    <w:p w:rsidR="00044074" w:rsidRPr="00044074" w:rsidRDefault="00044074" w:rsidP="00044074">
      <w:pPr>
        <w:spacing w:before="100" w:beforeAutospacing="1" w:after="100" w:afterAutospacing="1" w:line="240" w:lineRule="auto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  <w:vertAlign w:val="superscript"/>
        </w:rPr>
        <w:t>1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</w:t>
      </w:r>
      <w:r w:rsidRPr="004D4C7A">
        <w:rPr>
          <w:rFonts w:ascii="Arial" w:eastAsia="Times New Roman" w:hAnsi="Arial" w:cs="Arial"/>
          <w:b/>
          <w:bCs/>
          <w:strike/>
          <w:color w:val="FF0000"/>
          <w:sz w:val="20"/>
          <w:szCs w:val="20"/>
        </w:rPr>
        <w:t>"Affected U.S. Persons"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refers to U.S. customers of Clearing Members, who hold open positions in OTC Commodity Contracts as at 20 December 2013.</w:t>
      </w:r>
    </w:p>
    <w:p w:rsidR="00044074" w:rsidRPr="00044074" w:rsidRDefault="00044074" w:rsidP="00044074">
      <w:pPr>
        <w:spacing w:before="100" w:beforeAutospacing="1" w:after="100" w:afterAutospacing="1" w:line="240" w:lineRule="auto"/>
        <w:rPr>
          <w:rFonts w:ascii="Arial" w:eastAsia="Times New Roman" w:hAnsi="Arial" w:cs="Arial"/>
          <w:strike/>
          <w:color w:val="FF0000"/>
          <w:sz w:val="20"/>
          <w:szCs w:val="20"/>
        </w:rPr>
      </w:pPr>
      <w:r w:rsidRPr="00044074">
        <w:rPr>
          <w:rFonts w:ascii="Arial" w:eastAsia="Times New Roman" w:hAnsi="Arial" w:cs="Arial"/>
          <w:strike/>
          <w:color w:val="FF0000"/>
          <w:sz w:val="20"/>
          <w:szCs w:val="20"/>
          <w:vertAlign w:val="superscript"/>
        </w:rPr>
        <w:t>2</w:t>
      </w:r>
      <w:r w:rsidRPr="00044074">
        <w:rPr>
          <w:rFonts w:ascii="Arial" w:eastAsia="Times New Roman" w:hAnsi="Arial" w:cs="Arial"/>
          <w:strike/>
          <w:color w:val="FF0000"/>
          <w:sz w:val="20"/>
          <w:szCs w:val="20"/>
        </w:rPr>
        <w:t xml:space="preserve"> Commission regulation 39.12(b)(7), read with the terms of the Relief, provides that SGX-DC shall accept or reject for clearing such offsetting transactions as quickly after submission as would be technologically practicable if fully automated systems were used.</w:t>
      </w:r>
    </w:p>
    <w:p w:rsidR="00964C77" w:rsidRDefault="00964C77"/>
    <w:sectPr w:rsidR="00964C77" w:rsidSect="00964C7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297" w:rsidRDefault="00792297" w:rsidP="00792297">
      <w:pPr>
        <w:spacing w:after="0" w:line="240" w:lineRule="auto"/>
      </w:pPr>
      <w:r>
        <w:separator/>
      </w:r>
    </w:p>
  </w:endnote>
  <w:endnote w:type="continuationSeparator" w:id="0">
    <w:p w:rsidR="00792297" w:rsidRDefault="00792297" w:rsidP="007922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97" w:rsidRDefault="0079229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97" w:rsidRDefault="0079229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97" w:rsidRDefault="0079229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297" w:rsidRDefault="00792297" w:rsidP="00792297">
      <w:pPr>
        <w:spacing w:after="0" w:line="240" w:lineRule="auto"/>
      </w:pPr>
      <w:r>
        <w:separator/>
      </w:r>
    </w:p>
  </w:footnote>
  <w:footnote w:type="continuationSeparator" w:id="0">
    <w:p w:rsidR="00792297" w:rsidRDefault="00792297" w:rsidP="007922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97" w:rsidRDefault="0079229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97" w:rsidRDefault="0079229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97" w:rsidRDefault="0079229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removePersonalInformation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44074"/>
    <w:rsid w:val="00044074"/>
    <w:rsid w:val="00480BD9"/>
    <w:rsid w:val="004B12AA"/>
    <w:rsid w:val="004D4C7A"/>
    <w:rsid w:val="00693EE0"/>
    <w:rsid w:val="00792297"/>
    <w:rsid w:val="00964C77"/>
    <w:rsid w:val="00C71D19"/>
    <w:rsid w:val="00D34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2AA"/>
  </w:style>
  <w:style w:type="paragraph" w:styleId="Heading2">
    <w:name w:val="heading 2"/>
    <w:basedOn w:val="Normal"/>
    <w:link w:val="Heading2Char"/>
    <w:uiPriority w:val="9"/>
    <w:qFormat/>
    <w:rsid w:val="000440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4407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044074"/>
    <w:rPr>
      <w:color w:val="233288"/>
      <w:u w:val="single"/>
    </w:rPr>
  </w:style>
  <w:style w:type="character" w:styleId="Strong">
    <w:name w:val="Strong"/>
    <w:basedOn w:val="DefaultParagraphFont"/>
    <w:uiPriority w:val="22"/>
    <w:qFormat/>
    <w:rsid w:val="0004407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44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">
    <w:name w:val="me"/>
    <w:basedOn w:val="DefaultParagraphFont"/>
    <w:rsid w:val="00044074"/>
  </w:style>
  <w:style w:type="paragraph" w:styleId="Header">
    <w:name w:val="header"/>
    <w:basedOn w:val="Normal"/>
    <w:link w:val="HeaderChar"/>
    <w:uiPriority w:val="99"/>
    <w:unhideWhenUsed/>
    <w:rsid w:val="007922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297"/>
  </w:style>
  <w:style w:type="paragraph" w:styleId="Footer">
    <w:name w:val="footer"/>
    <w:basedOn w:val="Normal"/>
    <w:link w:val="FooterChar"/>
    <w:uiPriority w:val="99"/>
    <w:unhideWhenUsed/>
    <w:rsid w:val="007922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2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440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4407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044074"/>
    <w:rPr>
      <w:color w:val="233288"/>
      <w:u w:val="single"/>
    </w:rPr>
  </w:style>
  <w:style w:type="character" w:styleId="Strong">
    <w:name w:val="Strong"/>
    <w:basedOn w:val="DefaultParagraphFont"/>
    <w:uiPriority w:val="22"/>
    <w:qFormat/>
    <w:rsid w:val="0004407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44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">
    <w:name w:val="me"/>
    <w:basedOn w:val="DefaultParagraphFont"/>
    <w:rsid w:val="00044074"/>
  </w:style>
  <w:style w:type="paragraph" w:styleId="Header">
    <w:name w:val="header"/>
    <w:basedOn w:val="Normal"/>
    <w:link w:val="HeaderChar"/>
    <w:uiPriority w:val="99"/>
    <w:unhideWhenUsed/>
    <w:rsid w:val="007922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297"/>
  </w:style>
  <w:style w:type="paragraph" w:styleId="Footer">
    <w:name w:val="footer"/>
    <w:basedOn w:val="Normal"/>
    <w:link w:val="FooterChar"/>
    <w:uiPriority w:val="99"/>
    <w:unhideWhenUsed/>
    <w:rsid w:val="007922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2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3686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8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461165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54268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158478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399922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823555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036649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660027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171485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893635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378879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398420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96878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518732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819442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846219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06192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lebook.sgx.com/net_file_store/new_rulebooks/s/g/SGX_DC_Clearing_21_Apr_2014.docx" TargetMode="External"/><Relationship Id="rId13" Type="http://schemas.openxmlformats.org/officeDocument/2006/relationships/hyperlink" Target="http://rulebook.sgx.com/en/display/display.html?rbid=3271&amp;element_id=6314" TargetMode="External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rulebook.sgx.com/net_file_store/new_rulebooks/s/g/SGX_DC_Clearing_31_Dec_2013.docx" TargetMode="External"/><Relationship Id="rId12" Type="http://schemas.openxmlformats.org/officeDocument/2006/relationships/hyperlink" Target="http://rulebook.sgx.com/en/display/display.html?rbid=3271&amp;element_id=6286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://rulebook.sgx.com/net_file_store/new_rulebooks/s/g/SGX_DC_December_31_2012_i.pdf" TargetMode="External"/><Relationship Id="rId11" Type="http://schemas.openxmlformats.org/officeDocument/2006/relationships/hyperlink" Target="http://rulebook.sgx.com/en/display/display.html?rbid=3271&amp;element_id=6073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23" Type="http://schemas.microsoft.com/office/2007/relationships/stylesWithEffects" Target="stylesWithEffects.xml"/><Relationship Id="rId10" Type="http://schemas.openxmlformats.org/officeDocument/2006/relationships/hyperlink" Target="http://rulebook.sgx.com/en/display/display.html?rbid=3271&amp;element_id=6072" TargetMode="External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yperlink" Target="mailto:membersup@sgx.com" TargetMode="External"/><Relationship Id="rId14" Type="http://schemas.openxmlformats.org/officeDocument/2006/relationships/hyperlink" Target="http://rulebook.sgx.com/en/display/display.html?rbid=3271&amp;element_id=6314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952</Words>
  <Characters>5428</Characters>
  <Application>Microsoft Office Word</Application>
  <DocSecurity>0</DocSecurity>
  <Lines>45</Lines>
  <Paragraphs>12</Paragraphs>
  <ScaleCrop>false</ScaleCrop>
  <LinksUpToDate>false</LinksUpToDate>
  <CharactersWithSpaces>6368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2014-04-25T08:46:00Z</dcterms:created>
  <dcterms:modified xsi:type="dcterms:W3CDTF">2014-04-25T08:46:00Z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ABAAVOAfoSrQoywl2Gn2rXNJv9w4ZH3w/XjN1vLK7/F3yEUe80FEinGdqNB9oaKuVwYZ</vt:lpwstr>
  </property>
  <property fmtid="{D5CDD505-2E9C-101B-9397-08002B2CF9AE}" pid="3" name="RESPONSE_SENDER_NAME">
    <vt:lpwstr>gAAAdya76B99d4hLGUR1rQ+8TxTv0GGEPdix</vt:lpwstr>
  </property>
  <property fmtid="{D5CDD505-2E9C-101B-9397-08002B2CF9AE}" pid="4" name="EMAIL_OWNER_ADDRESS">
    <vt:lpwstr>sAAAGYoQX4c3X/IpSTX3cTEXmBU67bf2SJvg/4h+143xMY4=</vt:lpwstr>
  </property>
  <property fmtid="{D5CDD505-2E9C-101B-9397-08002B2CF9AE}" pid="5" name="WS_TRACKING_ID">
    <vt:lpwstr>417201e4-32d7-4a8b-acbd-bf9d2083b630</vt:lpwstr>
  </property>
</Properties>
</file>