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74397" w:rsidRDefault="00874397" w:rsidP="00874397">
      <w:bookmarkStart w:id="0" w:name="_GoBack"/>
      <w:bookmarkEnd w:id="0"/>
      <w:r>
        <w:t xml:space="preserve">Amendments are in </w:t>
      </w:r>
      <w:r w:rsidRPr="00EC1A89">
        <w:rPr>
          <w:color w:val="FF0000"/>
          <w:u w:val="single"/>
        </w:rPr>
        <w:t>red</w:t>
      </w:r>
    </w:p>
    <w:p w:rsidR="00874397" w:rsidRDefault="00874397"/>
    <w:tbl>
      <w:tblPr>
        <w:tblStyle w:val="TableGrid"/>
        <w:tblW w:w="0" w:type="auto"/>
        <w:tblLook w:val="04A0"/>
      </w:tblPr>
      <w:tblGrid>
        <w:gridCol w:w="9468"/>
      </w:tblGrid>
      <w:tr w:rsidR="00F73D85" w:rsidRPr="00CB0B56" w:rsidTr="00F73D85">
        <w:trPr>
          <w:tblHeader/>
        </w:trPr>
        <w:tc>
          <w:tcPr>
            <w:tcW w:w="9468" w:type="dxa"/>
            <w:shd w:val="clear" w:color="auto" w:fill="0B236B"/>
          </w:tcPr>
          <w:p w:rsidR="00F73D85" w:rsidRDefault="00874397" w:rsidP="00C64D07">
            <w:pPr>
              <w:rPr>
                <w:b/>
              </w:rPr>
            </w:pPr>
            <w:r>
              <w:rPr>
                <w:b/>
              </w:rPr>
              <w:t>Amendments to the Futures Trading Rules</w:t>
            </w:r>
          </w:p>
          <w:p w:rsidR="00F73D85" w:rsidRPr="00377A2C" w:rsidRDefault="00F73D85" w:rsidP="00C64D07">
            <w:pPr>
              <w:rPr>
                <w:b/>
              </w:rPr>
            </w:pPr>
          </w:p>
        </w:tc>
      </w:tr>
      <w:tr w:rsidR="00F73D85" w:rsidRPr="00CB0B56" w:rsidTr="00F73D85">
        <w:tc>
          <w:tcPr>
            <w:tcW w:w="9468" w:type="dxa"/>
          </w:tcPr>
          <w:p w:rsidR="00F73D85" w:rsidRPr="00FE7C1C" w:rsidRDefault="00F73D85" w:rsidP="00E314B3">
            <w:pPr>
              <w:rPr>
                <w:b/>
              </w:rPr>
            </w:pPr>
            <w:r w:rsidRPr="00FE7C1C">
              <w:rPr>
                <w:b/>
              </w:rPr>
              <w:t>Chapter 5 Physical Delivery</w:t>
            </w:r>
          </w:p>
          <w:p w:rsidR="00F73D85" w:rsidRPr="00CB0B56" w:rsidRDefault="00F73D85" w:rsidP="00E314B3"/>
        </w:tc>
      </w:tr>
      <w:tr w:rsidR="00F73D85" w:rsidRPr="00CB0B56" w:rsidTr="00F73D85">
        <w:tc>
          <w:tcPr>
            <w:tcW w:w="9468" w:type="dxa"/>
          </w:tcPr>
          <w:p w:rsidR="00F73D85" w:rsidRPr="00FE7C1C" w:rsidRDefault="00F73D85" w:rsidP="00E314B3">
            <w:pPr>
              <w:rPr>
                <w:b/>
              </w:rPr>
            </w:pPr>
            <w:bookmarkStart w:id="1" w:name="5."/>
            <w:bookmarkEnd w:id="1"/>
            <w:r w:rsidRPr="00FE7C1C">
              <w:rPr>
                <w:b/>
              </w:rPr>
              <w:t>5. Overview</w:t>
            </w:r>
          </w:p>
          <w:p w:rsidR="00F73D85" w:rsidRPr="00CB0B56" w:rsidRDefault="00F73D85" w:rsidP="00E314B3"/>
        </w:tc>
      </w:tr>
      <w:tr w:rsidR="00F73D85" w:rsidRPr="00CB0B56" w:rsidTr="00F73D85">
        <w:tc>
          <w:tcPr>
            <w:tcW w:w="9468" w:type="dxa"/>
          </w:tcPr>
          <w:p w:rsidR="00F73D85" w:rsidRDefault="00F73D85" w:rsidP="00E314B3">
            <w:r w:rsidRPr="00CB0B56">
              <w:t xml:space="preserve">This Chapter is only applicable to deliverable Commodity Futures Contracts. This Chapter relates mainly to the Exchange's role as a facilitator in the delivery of Title Documents and the underlying Commodity. The Exchange seeks to mitigate delivery risks by facilitating delivery of Title Documents via the Clearing House and the delivery of the underlying Commodity between the Buyer and the Seller. The Clearing Rules and </w:t>
            </w:r>
            <w:proofErr w:type="gramStart"/>
            <w:r w:rsidRPr="00CB0B56">
              <w:t>this Rules</w:t>
            </w:r>
            <w:proofErr w:type="gramEnd"/>
            <w:r w:rsidRPr="00CB0B56">
              <w:t xml:space="preserve"> focus on the obligations of the Member effecting delivery via the Clearing House, whereas the relevant Contract Specifications focuses on the physical delivery obligations of the Buyer and Seller upon the maturity of the deliverable Commodity Futures Contract.</w:t>
            </w:r>
          </w:p>
          <w:p w:rsidR="00F73D85" w:rsidRPr="00CB0B56" w:rsidRDefault="00F73D85" w:rsidP="00E314B3"/>
        </w:tc>
      </w:tr>
      <w:tr w:rsidR="00F73D85" w:rsidRPr="00CB0B56" w:rsidTr="00F73D85">
        <w:tc>
          <w:tcPr>
            <w:tcW w:w="9468" w:type="dxa"/>
          </w:tcPr>
          <w:p w:rsidR="00F73D85" w:rsidRPr="00FE7C1C" w:rsidRDefault="00F73D85" w:rsidP="00E314B3">
            <w:pPr>
              <w:rPr>
                <w:b/>
              </w:rPr>
            </w:pPr>
            <w:bookmarkStart w:id="2" w:name="5.1"/>
            <w:bookmarkEnd w:id="2"/>
            <w:r w:rsidRPr="00FE7C1C">
              <w:rPr>
                <w:b/>
              </w:rPr>
              <w:t>5.1 Title Documents and Physical Delivery Procedures</w:t>
            </w:r>
          </w:p>
          <w:p w:rsidR="00F73D85" w:rsidRPr="00CB0B56" w:rsidRDefault="00F73D85" w:rsidP="00E314B3"/>
        </w:tc>
      </w:tr>
      <w:tr w:rsidR="00F73D85" w:rsidRPr="00CB0B56" w:rsidTr="00F73D85">
        <w:tc>
          <w:tcPr>
            <w:tcW w:w="9468" w:type="dxa"/>
          </w:tcPr>
          <w:p w:rsidR="00F73D85" w:rsidRDefault="00F73D85" w:rsidP="00E314B3">
            <w:bookmarkStart w:id="3" w:name="5.1.1"/>
            <w:bookmarkEnd w:id="3"/>
            <w:r w:rsidRPr="00CB0B56">
              <w:t>5.1.1 Payment Against Title Documents</w:t>
            </w:r>
          </w:p>
          <w:p w:rsidR="00F73D85" w:rsidRPr="00CB0B56" w:rsidRDefault="00F73D85" w:rsidP="00E314B3"/>
        </w:tc>
      </w:tr>
      <w:tr w:rsidR="00F73D85" w:rsidRPr="00CB0B56" w:rsidTr="00F73D85">
        <w:tc>
          <w:tcPr>
            <w:tcW w:w="9468" w:type="dxa"/>
          </w:tcPr>
          <w:p w:rsidR="00F73D85" w:rsidRDefault="00F73D85" w:rsidP="00E314B3">
            <w:r w:rsidRPr="00CB0B56">
              <w:t>Each Trading Member shall cooperate with its sponsoring Clearing Member to enable each Clearing Member to effect delivery of Title Documents against payment as contemplated in the Clearing Rules and the relevant Contract Specifications. "Title Documents" refers to bills of lading, title certificates, endorsed warehouse receipts or any other equivalent documents evidencing title to the underlying Commodity and any other documents required to release payment, as contemplated in the relevant Contract Specifications.</w:t>
            </w:r>
          </w:p>
          <w:p w:rsidR="00F73D85" w:rsidRPr="00CB0B56" w:rsidRDefault="00F73D85" w:rsidP="00E314B3"/>
        </w:tc>
      </w:tr>
      <w:tr w:rsidR="00F73D85" w:rsidRPr="00CB0B56" w:rsidTr="00F73D85">
        <w:tc>
          <w:tcPr>
            <w:tcW w:w="9468" w:type="dxa"/>
          </w:tcPr>
          <w:p w:rsidR="00F73D85" w:rsidRDefault="00F73D85" w:rsidP="00E314B3">
            <w:bookmarkStart w:id="4" w:name="5.1.2"/>
            <w:bookmarkEnd w:id="4"/>
            <w:r w:rsidRPr="00CB0B56">
              <w:t>5.1.2 Duty Of Members To Mitigate Risk Of Non-Delivery</w:t>
            </w:r>
          </w:p>
          <w:p w:rsidR="00F73D85" w:rsidRPr="00CB0B56" w:rsidRDefault="00F73D85" w:rsidP="00E314B3"/>
        </w:tc>
      </w:tr>
      <w:tr w:rsidR="00F73D85" w:rsidRPr="00CB0B56" w:rsidTr="00F73D85">
        <w:tc>
          <w:tcPr>
            <w:tcW w:w="9468" w:type="dxa"/>
          </w:tcPr>
          <w:p w:rsidR="00F73D85" w:rsidRDefault="00F73D85" w:rsidP="00E314B3">
            <w:r w:rsidRPr="00CB0B56">
              <w:t>Prior to the Last Trading Day, each Member shall require evidence from the respective Seller(s) or Buyer(s) having accounts on its books, that all Open Positions which will not be offset on the Last Trading Day shall be completed by delivery of the relevant underlying Commodity. If the Seller(s) or the Buyer(s) fails to provide such evidence, the Member shall</w:t>
            </w:r>
            <w:r w:rsidRPr="005A6386">
              <w:rPr>
                <w:rFonts w:asciiTheme="minorHAnsi" w:hAnsiTheme="minorHAnsi"/>
                <w:color w:val="FF0000"/>
                <w:u w:val="single"/>
              </w:rPr>
              <w:t xml:space="preserve">, unless entitled to opt </w:t>
            </w:r>
            <w:r>
              <w:rPr>
                <w:rFonts w:asciiTheme="minorHAnsi" w:hAnsiTheme="minorHAnsi"/>
                <w:color w:val="FF0000"/>
                <w:u w:val="single"/>
              </w:rPr>
              <w:t xml:space="preserve">otherwise </w:t>
            </w:r>
            <w:r w:rsidRPr="005A6386">
              <w:rPr>
                <w:rFonts w:asciiTheme="minorHAnsi" w:hAnsiTheme="minorHAnsi"/>
                <w:color w:val="FF0000"/>
                <w:u w:val="single"/>
              </w:rPr>
              <w:t>under the relevant Contract Specifications</w:t>
            </w:r>
            <w:r>
              <w:rPr>
                <w:rFonts w:asciiTheme="minorHAnsi" w:hAnsiTheme="minorHAnsi"/>
                <w:color w:val="FF0000"/>
                <w:u w:val="single"/>
              </w:rPr>
              <w:t>,</w:t>
            </w:r>
            <w:r w:rsidRPr="00CB0B56">
              <w:t xml:space="preserve"> liquidate the remaining Open Positions on or before the Last Trading Day. Unless otherwise permitted under the relevant Contract Specifications, each Member shall liquidate any and all Open Positions relating to lot sizes less than the minimum size prescribed under the relevant Contract Specifications for physical delivery.</w:t>
            </w:r>
          </w:p>
          <w:p w:rsidR="00F73D85" w:rsidRPr="00CB0B56" w:rsidRDefault="00F73D85" w:rsidP="00E314B3"/>
        </w:tc>
      </w:tr>
      <w:tr w:rsidR="00F73D85" w:rsidRPr="00CB0B56" w:rsidTr="00F73D85">
        <w:tc>
          <w:tcPr>
            <w:tcW w:w="9468" w:type="dxa"/>
          </w:tcPr>
          <w:p w:rsidR="00F73D85" w:rsidRDefault="00F73D85" w:rsidP="00E314B3">
            <w:bookmarkStart w:id="5" w:name="5.1.3"/>
            <w:bookmarkEnd w:id="5"/>
            <w:r w:rsidRPr="00CB0B56">
              <w:t>5.1.3 No Financing of Performance Deposits or other Escrow Assets</w:t>
            </w:r>
          </w:p>
          <w:p w:rsidR="00F73D85" w:rsidRPr="00CB0B56" w:rsidRDefault="00F73D85" w:rsidP="00E314B3"/>
        </w:tc>
      </w:tr>
      <w:tr w:rsidR="00F73D85" w:rsidRPr="00CB0B56" w:rsidTr="00F73D85">
        <w:tc>
          <w:tcPr>
            <w:tcW w:w="9468" w:type="dxa"/>
          </w:tcPr>
          <w:p w:rsidR="00F73D85" w:rsidRDefault="00F73D85" w:rsidP="00E314B3">
            <w:r w:rsidRPr="00CB0B56">
              <w:t>No General Trading Member shall grant, whether directly or indirectly, any advance, loan or credit facilities to any Buyer or Seller for the purpose of posting Performance Deposits or other Escrow Assets (where applicable) to the Clearing House.</w:t>
            </w:r>
          </w:p>
          <w:p w:rsidR="00F73D85" w:rsidRPr="00CB0B56" w:rsidRDefault="00F73D85" w:rsidP="00E314B3"/>
        </w:tc>
      </w:tr>
      <w:tr w:rsidR="00F73D85" w:rsidRPr="00CB0B56" w:rsidTr="00F73D85">
        <w:tc>
          <w:tcPr>
            <w:tcW w:w="9468" w:type="dxa"/>
          </w:tcPr>
          <w:p w:rsidR="00F73D85" w:rsidRDefault="00F73D85" w:rsidP="00E314B3">
            <w:bookmarkStart w:id="6" w:name="5.1.4"/>
            <w:bookmarkEnd w:id="6"/>
            <w:r w:rsidRPr="00CB0B56">
              <w:t>5.1.4 Delivery Obligations are Deemed Rules</w:t>
            </w:r>
          </w:p>
          <w:p w:rsidR="00F73D85" w:rsidRPr="00CB0B56" w:rsidRDefault="00F73D85" w:rsidP="00E314B3"/>
        </w:tc>
      </w:tr>
      <w:tr w:rsidR="00F73D85" w:rsidRPr="00CB0B56" w:rsidTr="00F73D85">
        <w:tc>
          <w:tcPr>
            <w:tcW w:w="9468" w:type="dxa"/>
          </w:tcPr>
          <w:p w:rsidR="00F73D85" w:rsidRDefault="00F73D85" w:rsidP="00E314B3">
            <w:r w:rsidRPr="00CB0B56">
              <w:t xml:space="preserve">Material terms relating to delivery obligations, including those pertaining to delivery dates, quality, </w:t>
            </w:r>
            <w:r w:rsidRPr="00CB0B56">
              <w:lastRenderedPageBreak/>
              <w:t>quantity, location, acceptance notices or delivery notices as set forth in the relevant Contract Specifications, are deemed incorporated into this Rules by reference herein.</w:t>
            </w:r>
          </w:p>
          <w:p w:rsidR="00F73D85" w:rsidRPr="00CB0B56" w:rsidRDefault="00F73D85" w:rsidP="00E314B3"/>
        </w:tc>
      </w:tr>
      <w:tr w:rsidR="00F73D85" w:rsidRPr="00CB0B56" w:rsidTr="00F73D85">
        <w:tc>
          <w:tcPr>
            <w:tcW w:w="9468" w:type="dxa"/>
          </w:tcPr>
          <w:p w:rsidR="00F73D85" w:rsidRDefault="00F73D85" w:rsidP="00E314B3">
            <w:bookmarkStart w:id="7" w:name="5.1.5"/>
            <w:bookmarkEnd w:id="7"/>
            <w:r w:rsidRPr="00CB0B56">
              <w:lastRenderedPageBreak/>
              <w:t>5.1.5 Delivery Default Deemed Rule Violation</w:t>
            </w:r>
          </w:p>
          <w:p w:rsidR="00F73D85" w:rsidRPr="00CB0B56" w:rsidRDefault="00F73D85" w:rsidP="00E314B3"/>
        </w:tc>
      </w:tr>
      <w:tr w:rsidR="00F73D85" w:rsidRPr="00CB0B56" w:rsidTr="00F73D85">
        <w:tc>
          <w:tcPr>
            <w:tcW w:w="9468" w:type="dxa"/>
          </w:tcPr>
          <w:p w:rsidR="00F73D85" w:rsidRDefault="00F73D85" w:rsidP="00E314B3">
            <w:r w:rsidRPr="00CB0B56">
              <w:t xml:space="preserve">To ensure the integrity of the delivery process as contemplated in </w:t>
            </w:r>
            <w:proofErr w:type="gramStart"/>
            <w:r w:rsidRPr="00CB0B56">
              <w:t>this Rules</w:t>
            </w:r>
            <w:proofErr w:type="gramEnd"/>
            <w:r w:rsidRPr="00CB0B56">
              <w:t xml:space="preserve"> and the Clearing Rules, a Member responsible for a Delivery Default is deemed to have committed a Rule Violation and may be subject to Sanctions as contemplated in </w:t>
            </w:r>
            <w:hyperlink r:id="rId7" w:tgtFrame="_blank" w:history="1">
              <w:r w:rsidRPr="00CB0B56">
                <w:rPr>
                  <w:rStyle w:val="Hyperlink"/>
                  <w:color w:val="auto"/>
                  <w:u w:val="none"/>
                </w:rPr>
                <w:t>Chapter 7</w:t>
              </w:r>
            </w:hyperlink>
            <w:r w:rsidRPr="00CB0B56">
              <w:t xml:space="preserve"> of this Rules.</w:t>
            </w:r>
          </w:p>
          <w:p w:rsidR="00F73D85" w:rsidRPr="00CB0B56" w:rsidRDefault="00F73D85" w:rsidP="00E314B3"/>
        </w:tc>
      </w:tr>
      <w:tr w:rsidR="00F73D85" w:rsidRPr="00CB0B56" w:rsidTr="00F73D85">
        <w:tc>
          <w:tcPr>
            <w:tcW w:w="9468" w:type="dxa"/>
          </w:tcPr>
          <w:p w:rsidR="00F73D85" w:rsidRDefault="00F73D85" w:rsidP="00E314B3">
            <w:bookmarkStart w:id="8" w:name="5.1.6"/>
            <w:bookmarkStart w:id="9" w:name="5.2"/>
            <w:bookmarkStart w:id="10" w:name="5.3"/>
            <w:bookmarkEnd w:id="8"/>
            <w:bookmarkEnd w:id="9"/>
            <w:bookmarkEnd w:id="10"/>
            <w:r>
              <w:t>…</w:t>
            </w:r>
          </w:p>
          <w:p w:rsidR="00F73D85" w:rsidRPr="00CB0B56" w:rsidRDefault="00F73D85" w:rsidP="00E314B3"/>
        </w:tc>
      </w:tr>
    </w:tbl>
    <w:p w:rsidR="00CB0B56" w:rsidRPr="005C05FC" w:rsidRDefault="00CB0B56" w:rsidP="00CB0B56">
      <w:bookmarkStart w:id="11" w:name="5.3.1"/>
      <w:bookmarkStart w:id="12" w:name="5.3.2"/>
      <w:bookmarkStart w:id="13" w:name="5.3.3"/>
      <w:bookmarkEnd w:id="11"/>
      <w:bookmarkEnd w:id="12"/>
      <w:bookmarkEnd w:id="13"/>
    </w:p>
    <w:sectPr w:rsidR="00CB0B56" w:rsidRPr="005C05FC" w:rsidSect="00415ACC">
      <w:footerReference w:type="default" r:id="rId8"/>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36E49" w:rsidRDefault="00236E49" w:rsidP="0031613A">
      <w:r>
        <w:separator/>
      </w:r>
    </w:p>
  </w:endnote>
  <w:endnote w:type="continuationSeparator" w:id="0">
    <w:p w:rsidR="00236E49" w:rsidRDefault="00236E49" w:rsidP="0031613A">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899438492"/>
      <w:docPartObj>
        <w:docPartGallery w:val="Page Numbers (Bottom of Page)"/>
        <w:docPartUnique/>
      </w:docPartObj>
    </w:sdtPr>
    <w:sdtEndPr>
      <w:rPr>
        <w:noProof/>
      </w:rPr>
    </w:sdtEndPr>
    <w:sdtContent>
      <w:p w:rsidR="0031613A" w:rsidRDefault="00415ACC">
        <w:pPr>
          <w:pStyle w:val="Footer"/>
          <w:jc w:val="right"/>
        </w:pPr>
        <w:r>
          <w:fldChar w:fldCharType="begin"/>
        </w:r>
        <w:r w:rsidR="0031613A">
          <w:instrText xml:space="preserve"> PAGE   \* MERGEFORMAT </w:instrText>
        </w:r>
        <w:r>
          <w:fldChar w:fldCharType="separate"/>
        </w:r>
        <w:r w:rsidR="00726DCF">
          <w:rPr>
            <w:noProof/>
          </w:rPr>
          <w:t>1</w:t>
        </w:r>
        <w:r>
          <w:rPr>
            <w:noProof/>
          </w:rPr>
          <w:fldChar w:fldCharType="end"/>
        </w:r>
      </w:p>
    </w:sdtContent>
  </w:sdt>
  <w:p w:rsidR="0031613A" w:rsidRDefault="0031613A">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36E49" w:rsidRDefault="00236E49" w:rsidP="0031613A">
      <w:r>
        <w:separator/>
      </w:r>
    </w:p>
  </w:footnote>
  <w:footnote w:type="continuationSeparator" w:id="0">
    <w:p w:rsidR="00236E49" w:rsidRDefault="00236E49" w:rsidP="0031613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C0B63BD"/>
    <w:multiLevelType w:val="multilevel"/>
    <w:tmpl w:val="189C564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B480291"/>
    <w:multiLevelType w:val="multilevel"/>
    <w:tmpl w:val="3A424A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505F000B"/>
    <w:multiLevelType w:val="multilevel"/>
    <w:tmpl w:val="B74A396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51880517"/>
    <w:multiLevelType w:val="multilevel"/>
    <w:tmpl w:val="F9DCFD0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62AB1074"/>
    <w:multiLevelType w:val="multilevel"/>
    <w:tmpl w:val="AC56E25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3"/>
  </w:num>
  <w:num w:numId="3">
    <w:abstractNumId w:val="4"/>
  </w:num>
  <w:num w:numId="4">
    <w:abstractNumId w:val="2"/>
  </w:num>
  <w:num w:numId="5">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footnotePr>
    <w:footnote w:id="-1"/>
    <w:footnote w:id="0"/>
  </w:footnotePr>
  <w:endnotePr>
    <w:endnote w:id="-1"/>
    <w:endnote w:id="0"/>
  </w:endnotePr>
  <w:compat/>
  <w:rsids>
    <w:rsidRoot w:val="00CB5A91"/>
    <w:rsid w:val="000131F5"/>
    <w:rsid w:val="00042A47"/>
    <w:rsid w:val="000611B3"/>
    <w:rsid w:val="000B6ED8"/>
    <w:rsid w:val="001658D3"/>
    <w:rsid w:val="001730F1"/>
    <w:rsid w:val="00196729"/>
    <w:rsid w:val="00236E49"/>
    <w:rsid w:val="00295071"/>
    <w:rsid w:val="002E37CB"/>
    <w:rsid w:val="002F08F0"/>
    <w:rsid w:val="002F36F4"/>
    <w:rsid w:val="00314A13"/>
    <w:rsid w:val="0031613A"/>
    <w:rsid w:val="00357AF8"/>
    <w:rsid w:val="00377A2C"/>
    <w:rsid w:val="00385C43"/>
    <w:rsid w:val="003E4B80"/>
    <w:rsid w:val="00415ACC"/>
    <w:rsid w:val="004A5090"/>
    <w:rsid w:val="00540D74"/>
    <w:rsid w:val="005429EA"/>
    <w:rsid w:val="0054347B"/>
    <w:rsid w:val="005642E0"/>
    <w:rsid w:val="0058136E"/>
    <w:rsid w:val="005A6386"/>
    <w:rsid w:val="005B58D0"/>
    <w:rsid w:val="005B7E1C"/>
    <w:rsid w:val="005C05FC"/>
    <w:rsid w:val="00657338"/>
    <w:rsid w:val="00660651"/>
    <w:rsid w:val="00691376"/>
    <w:rsid w:val="0069741D"/>
    <w:rsid w:val="006A0F32"/>
    <w:rsid w:val="006F56C5"/>
    <w:rsid w:val="00726DCF"/>
    <w:rsid w:val="00746A26"/>
    <w:rsid w:val="0077245B"/>
    <w:rsid w:val="00786282"/>
    <w:rsid w:val="007F7415"/>
    <w:rsid w:val="0081189B"/>
    <w:rsid w:val="00816B80"/>
    <w:rsid w:val="00825455"/>
    <w:rsid w:val="00874397"/>
    <w:rsid w:val="008846AC"/>
    <w:rsid w:val="008C022A"/>
    <w:rsid w:val="008C4B31"/>
    <w:rsid w:val="00900A9C"/>
    <w:rsid w:val="009241E5"/>
    <w:rsid w:val="00982079"/>
    <w:rsid w:val="009B78F6"/>
    <w:rsid w:val="009F3DE0"/>
    <w:rsid w:val="009F6075"/>
    <w:rsid w:val="00A8234A"/>
    <w:rsid w:val="00AF0B63"/>
    <w:rsid w:val="00BD3381"/>
    <w:rsid w:val="00C0263C"/>
    <w:rsid w:val="00C905F7"/>
    <w:rsid w:val="00CB0B56"/>
    <w:rsid w:val="00CB5A91"/>
    <w:rsid w:val="00D46F01"/>
    <w:rsid w:val="00DA6A34"/>
    <w:rsid w:val="00DA7BCF"/>
    <w:rsid w:val="00DB1FD6"/>
    <w:rsid w:val="00EF0695"/>
    <w:rsid w:val="00F316A7"/>
    <w:rsid w:val="00F53286"/>
    <w:rsid w:val="00F73D85"/>
    <w:rsid w:val="00FC27D2"/>
    <w:rsid w:val="00FE5D76"/>
    <w:rsid w:val="00FE7C1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heme="minorHAnsi" w:hAnsi="Calibri" w:cstheme="minorHAns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15AC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B5A91"/>
    <w:rPr>
      <w:color w:val="233288"/>
      <w:u w:val="single"/>
    </w:rPr>
  </w:style>
  <w:style w:type="paragraph" w:styleId="NormalWeb">
    <w:name w:val="Normal (Web)"/>
    <w:basedOn w:val="Normal"/>
    <w:uiPriority w:val="99"/>
    <w:semiHidden/>
    <w:unhideWhenUsed/>
    <w:rsid w:val="00CB5A91"/>
    <w:pPr>
      <w:spacing w:before="100" w:beforeAutospacing="1" w:after="100" w:afterAutospacing="1"/>
    </w:pPr>
    <w:rPr>
      <w:rFonts w:ascii="Times New Roman" w:eastAsia="Times New Roman" w:hAnsi="Times New Roman" w:cs="Times New Roman"/>
      <w:sz w:val="24"/>
      <w:szCs w:val="24"/>
    </w:rPr>
  </w:style>
  <w:style w:type="character" w:styleId="Emphasis">
    <w:name w:val="Emphasis"/>
    <w:basedOn w:val="DefaultParagraphFont"/>
    <w:uiPriority w:val="20"/>
    <w:qFormat/>
    <w:rsid w:val="00CB5A91"/>
    <w:rPr>
      <w:i/>
      <w:iCs/>
    </w:rPr>
  </w:style>
  <w:style w:type="character" w:customStyle="1" w:styleId="me">
    <w:name w:val="me"/>
    <w:basedOn w:val="DefaultParagraphFont"/>
    <w:rsid w:val="00CB5A91"/>
  </w:style>
  <w:style w:type="table" w:styleId="TableGrid">
    <w:name w:val="Table Grid"/>
    <w:basedOn w:val="TableNormal"/>
    <w:uiPriority w:val="59"/>
    <w:rsid w:val="00CB5A9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FC27D2"/>
    <w:pPr>
      <w:ind w:left="720"/>
      <w:contextualSpacing/>
    </w:pPr>
  </w:style>
  <w:style w:type="paragraph" w:styleId="Header">
    <w:name w:val="header"/>
    <w:basedOn w:val="Normal"/>
    <w:link w:val="HeaderChar"/>
    <w:uiPriority w:val="99"/>
    <w:unhideWhenUsed/>
    <w:rsid w:val="0031613A"/>
    <w:pPr>
      <w:tabs>
        <w:tab w:val="center" w:pos="4680"/>
        <w:tab w:val="right" w:pos="9360"/>
      </w:tabs>
    </w:pPr>
  </w:style>
  <w:style w:type="character" w:customStyle="1" w:styleId="HeaderChar">
    <w:name w:val="Header Char"/>
    <w:basedOn w:val="DefaultParagraphFont"/>
    <w:link w:val="Header"/>
    <w:uiPriority w:val="99"/>
    <w:rsid w:val="0031613A"/>
  </w:style>
  <w:style w:type="paragraph" w:styleId="Footer">
    <w:name w:val="footer"/>
    <w:basedOn w:val="Normal"/>
    <w:link w:val="FooterChar"/>
    <w:uiPriority w:val="99"/>
    <w:unhideWhenUsed/>
    <w:rsid w:val="0031613A"/>
    <w:pPr>
      <w:tabs>
        <w:tab w:val="center" w:pos="4680"/>
        <w:tab w:val="right" w:pos="9360"/>
      </w:tabs>
    </w:pPr>
  </w:style>
  <w:style w:type="character" w:customStyle="1" w:styleId="FooterChar">
    <w:name w:val="Footer Char"/>
    <w:basedOn w:val="DefaultParagraphFont"/>
    <w:link w:val="Footer"/>
    <w:uiPriority w:val="99"/>
    <w:rsid w:val="0031613A"/>
  </w:style>
  <w:style w:type="character" w:styleId="Strong">
    <w:name w:val="Strong"/>
    <w:basedOn w:val="DefaultParagraphFont"/>
    <w:uiPriority w:val="22"/>
    <w:qFormat/>
    <w:rsid w:val="00CB0B56"/>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heme="minorHAnsi" w:hAnsi="Calibri" w:cstheme="minorHAns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B5A91"/>
    <w:rPr>
      <w:color w:val="233288"/>
      <w:u w:val="single"/>
    </w:rPr>
  </w:style>
  <w:style w:type="paragraph" w:styleId="NormalWeb">
    <w:name w:val="Normal (Web)"/>
    <w:basedOn w:val="Normal"/>
    <w:uiPriority w:val="99"/>
    <w:semiHidden/>
    <w:unhideWhenUsed/>
    <w:rsid w:val="00CB5A91"/>
    <w:pPr>
      <w:spacing w:before="100" w:beforeAutospacing="1" w:after="100" w:afterAutospacing="1"/>
    </w:pPr>
    <w:rPr>
      <w:rFonts w:ascii="Times New Roman" w:eastAsia="Times New Roman" w:hAnsi="Times New Roman" w:cs="Times New Roman"/>
      <w:sz w:val="24"/>
      <w:szCs w:val="24"/>
    </w:rPr>
  </w:style>
  <w:style w:type="character" w:styleId="Emphasis">
    <w:name w:val="Emphasis"/>
    <w:basedOn w:val="DefaultParagraphFont"/>
    <w:uiPriority w:val="20"/>
    <w:qFormat/>
    <w:rsid w:val="00CB5A91"/>
    <w:rPr>
      <w:i/>
      <w:iCs/>
    </w:rPr>
  </w:style>
  <w:style w:type="character" w:customStyle="1" w:styleId="me">
    <w:name w:val="me"/>
    <w:basedOn w:val="DefaultParagraphFont"/>
    <w:rsid w:val="00CB5A91"/>
  </w:style>
  <w:style w:type="table" w:styleId="TableGrid">
    <w:name w:val="Table Grid"/>
    <w:basedOn w:val="TableNormal"/>
    <w:uiPriority w:val="59"/>
    <w:rsid w:val="00CB5A9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FC27D2"/>
    <w:pPr>
      <w:ind w:left="720"/>
      <w:contextualSpacing/>
    </w:pPr>
  </w:style>
  <w:style w:type="paragraph" w:styleId="Header">
    <w:name w:val="header"/>
    <w:basedOn w:val="Normal"/>
    <w:link w:val="HeaderChar"/>
    <w:uiPriority w:val="99"/>
    <w:unhideWhenUsed/>
    <w:rsid w:val="0031613A"/>
    <w:pPr>
      <w:tabs>
        <w:tab w:val="center" w:pos="4680"/>
        <w:tab w:val="right" w:pos="9360"/>
      </w:tabs>
    </w:pPr>
  </w:style>
  <w:style w:type="character" w:customStyle="1" w:styleId="HeaderChar">
    <w:name w:val="Header Char"/>
    <w:basedOn w:val="DefaultParagraphFont"/>
    <w:link w:val="Header"/>
    <w:uiPriority w:val="99"/>
    <w:rsid w:val="0031613A"/>
  </w:style>
  <w:style w:type="paragraph" w:styleId="Footer">
    <w:name w:val="footer"/>
    <w:basedOn w:val="Normal"/>
    <w:link w:val="FooterChar"/>
    <w:uiPriority w:val="99"/>
    <w:unhideWhenUsed/>
    <w:rsid w:val="0031613A"/>
    <w:pPr>
      <w:tabs>
        <w:tab w:val="center" w:pos="4680"/>
        <w:tab w:val="right" w:pos="9360"/>
      </w:tabs>
    </w:pPr>
  </w:style>
  <w:style w:type="character" w:customStyle="1" w:styleId="FooterChar">
    <w:name w:val="Footer Char"/>
    <w:basedOn w:val="DefaultParagraphFont"/>
    <w:link w:val="Footer"/>
    <w:uiPriority w:val="99"/>
    <w:rsid w:val="0031613A"/>
  </w:style>
  <w:style w:type="character" w:styleId="Strong">
    <w:name w:val="Strong"/>
    <w:basedOn w:val="DefaultParagraphFont"/>
    <w:uiPriority w:val="22"/>
    <w:qFormat/>
    <w:rsid w:val="00CB0B56"/>
    <w:rPr>
      <w:b/>
      <w:bCs/>
    </w:rPr>
  </w:style>
</w:styles>
</file>

<file path=word/webSettings.xml><?xml version="1.0" encoding="utf-8"?>
<w:webSettings xmlns:r="http://schemas.openxmlformats.org/officeDocument/2006/relationships" xmlns:w="http://schemas.openxmlformats.org/wordprocessingml/2006/main">
  <w:divs>
    <w:div w:id="178397013">
      <w:bodyDiv w:val="1"/>
      <w:marLeft w:val="0"/>
      <w:marRight w:val="0"/>
      <w:marTop w:val="0"/>
      <w:marBottom w:val="0"/>
      <w:divBdr>
        <w:top w:val="none" w:sz="0" w:space="0" w:color="auto"/>
        <w:left w:val="none" w:sz="0" w:space="0" w:color="auto"/>
        <w:bottom w:val="none" w:sz="0" w:space="0" w:color="auto"/>
        <w:right w:val="none" w:sz="0" w:space="0" w:color="auto"/>
      </w:divBdr>
      <w:divsChild>
        <w:div w:id="775100201">
          <w:marLeft w:val="3900"/>
          <w:marRight w:val="225"/>
          <w:marTop w:val="0"/>
          <w:marBottom w:val="225"/>
          <w:divBdr>
            <w:top w:val="none" w:sz="0" w:space="0" w:color="auto"/>
            <w:left w:val="none" w:sz="0" w:space="0" w:color="auto"/>
            <w:bottom w:val="none" w:sz="0" w:space="0" w:color="auto"/>
            <w:right w:val="none" w:sz="0" w:space="0" w:color="auto"/>
          </w:divBdr>
          <w:divsChild>
            <w:div w:id="1287543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823508">
      <w:bodyDiv w:val="1"/>
      <w:marLeft w:val="0"/>
      <w:marRight w:val="0"/>
      <w:marTop w:val="0"/>
      <w:marBottom w:val="0"/>
      <w:divBdr>
        <w:top w:val="none" w:sz="0" w:space="0" w:color="auto"/>
        <w:left w:val="none" w:sz="0" w:space="0" w:color="auto"/>
        <w:bottom w:val="none" w:sz="0" w:space="0" w:color="auto"/>
        <w:right w:val="none" w:sz="0" w:space="0" w:color="auto"/>
      </w:divBdr>
      <w:divsChild>
        <w:div w:id="636447529">
          <w:marLeft w:val="3900"/>
          <w:marRight w:val="225"/>
          <w:marTop w:val="0"/>
          <w:marBottom w:val="225"/>
          <w:divBdr>
            <w:top w:val="none" w:sz="0" w:space="0" w:color="auto"/>
            <w:left w:val="none" w:sz="0" w:space="0" w:color="auto"/>
            <w:bottom w:val="none" w:sz="0" w:space="0" w:color="auto"/>
            <w:right w:val="none" w:sz="0" w:space="0" w:color="auto"/>
          </w:divBdr>
          <w:divsChild>
            <w:div w:id="1569725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2626861">
      <w:bodyDiv w:val="1"/>
      <w:marLeft w:val="0"/>
      <w:marRight w:val="0"/>
      <w:marTop w:val="0"/>
      <w:marBottom w:val="0"/>
      <w:divBdr>
        <w:top w:val="none" w:sz="0" w:space="0" w:color="auto"/>
        <w:left w:val="none" w:sz="0" w:space="0" w:color="auto"/>
        <w:bottom w:val="none" w:sz="0" w:space="0" w:color="auto"/>
        <w:right w:val="none" w:sz="0" w:space="0" w:color="auto"/>
      </w:divBdr>
      <w:divsChild>
        <w:div w:id="1557858185">
          <w:marLeft w:val="3900"/>
          <w:marRight w:val="225"/>
          <w:marTop w:val="0"/>
          <w:marBottom w:val="225"/>
          <w:divBdr>
            <w:top w:val="none" w:sz="0" w:space="0" w:color="auto"/>
            <w:left w:val="none" w:sz="0" w:space="0" w:color="auto"/>
            <w:bottom w:val="none" w:sz="0" w:space="0" w:color="auto"/>
            <w:right w:val="none" w:sz="0" w:space="0" w:color="auto"/>
          </w:divBdr>
          <w:divsChild>
            <w:div w:id="46757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3729580">
      <w:bodyDiv w:val="1"/>
      <w:marLeft w:val="0"/>
      <w:marRight w:val="0"/>
      <w:marTop w:val="0"/>
      <w:marBottom w:val="0"/>
      <w:divBdr>
        <w:top w:val="none" w:sz="0" w:space="0" w:color="auto"/>
        <w:left w:val="none" w:sz="0" w:space="0" w:color="auto"/>
        <w:bottom w:val="none" w:sz="0" w:space="0" w:color="auto"/>
        <w:right w:val="none" w:sz="0" w:space="0" w:color="auto"/>
      </w:divBdr>
      <w:divsChild>
        <w:div w:id="1189216919">
          <w:marLeft w:val="3900"/>
          <w:marRight w:val="225"/>
          <w:marTop w:val="0"/>
          <w:marBottom w:val="225"/>
          <w:divBdr>
            <w:top w:val="none" w:sz="0" w:space="0" w:color="auto"/>
            <w:left w:val="none" w:sz="0" w:space="0" w:color="auto"/>
            <w:bottom w:val="none" w:sz="0" w:space="0" w:color="auto"/>
            <w:right w:val="none" w:sz="0" w:space="0" w:color="auto"/>
          </w:divBdr>
          <w:divsChild>
            <w:div w:id="1520773405">
              <w:marLeft w:val="0"/>
              <w:marRight w:val="0"/>
              <w:marTop w:val="0"/>
              <w:marBottom w:val="0"/>
              <w:divBdr>
                <w:top w:val="none" w:sz="0" w:space="0" w:color="auto"/>
                <w:left w:val="none" w:sz="0" w:space="0" w:color="auto"/>
                <w:bottom w:val="none" w:sz="0" w:space="0" w:color="auto"/>
                <w:right w:val="none" w:sz="0" w:space="0" w:color="auto"/>
              </w:divBdr>
              <w:divsChild>
                <w:div w:id="927927579">
                  <w:marLeft w:val="600"/>
                  <w:marRight w:val="0"/>
                  <w:marTop w:val="240"/>
                  <w:marBottom w:val="240"/>
                  <w:divBdr>
                    <w:top w:val="none" w:sz="0" w:space="0" w:color="auto"/>
                    <w:left w:val="none" w:sz="0" w:space="0" w:color="auto"/>
                    <w:bottom w:val="none" w:sz="0" w:space="0" w:color="auto"/>
                    <w:right w:val="none" w:sz="0" w:space="0" w:color="auto"/>
                  </w:divBdr>
                </w:div>
                <w:div w:id="1525287627">
                  <w:marLeft w:val="600"/>
                  <w:marRight w:val="0"/>
                  <w:marTop w:val="240"/>
                  <w:marBottom w:val="240"/>
                  <w:divBdr>
                    <w:top w:val="none" w:sz="0" w:space="0" w:color="auto"/>
                    <w:left w:val="none" w:sz="0" w:space="0" w:color="auto"/>
                    <w:bottom w:val="none" w:sz="0" w:space="0" w:color="auto"/>
                    <w:right w:val="none" w:sz="0" w:space="0" w:color="auto"/>
                  </w:divBdr>
                </w:div>
                <w:div w:id="95832299">
                  <w:marLeft w:val="600"/>
                  <w:marRight w:val="0"/>
                  <w:marTop w:val="240"/>
                  <w:marBottom w:val="240"/>
                  <w:divBdr>
                    <w:top w:val="none" w:sz="0" w:space="0" w:color="auto"/>
                    <w:left w:val="none" w:sz="0" w:space="0" w:color="auto"/>
                    <w:bottom w:val="none" w:sz="0" w:space="0" w:color="auto"/>
                    <w:right w:val="none" w:sz="0" w:space="0" w:color="auto"/>
                  </w:divBdr>
                </w:div>
                <w:div w:id="1799180791">
                  <w:marLeft w:val="600"/>
                  <w:marRight w:val="0"/>
                  <w:marTop w:val="240"/>
                  <w:marBottom w:val="240"/>
                  <w:divBdr>
                    <w:top w:val="none" w:sz="0" w:space="0" w:color="auto"/>
                    <w:left w:val="none" w:sz="0" w:space="0" w:color="auto"/>
                    <w:bottom w:val="none" w:sz="0" w:space="0" w:color="auto"/>
                    <w:right w:val="none" w:sz="0" w:space="0" w:color="auto"/>
                  </w:divBdr>
                </w:div>
                <w:div w:id="264076403">
                  <w:marLeft w:val="600"/>
                  <w:marRight w:val="0"/>
                  <w:marTop w:val="240"/>
                  <w:marBottom w:val="240"/>
                  <w:divBdr>
                    <w:top w:val="none" w:sz="0" w:space="0" w:color="auto"/>
                    <w:left w:val="none" w:sz="0" w:space="0" w:color="auto"/>
                    <w:bottom w:val="none" w:sz="0" w:space="0" w:color="auto"/>
                    <w:right w:val="none" w:sz="0" w:space="0" w:color="auto"/>
                  </w:divBdr>
                </w:div>
                <w:div w:id="1935748228">
                  <w:marLeft w:val="600"/>
                  <w:marRight w:val="0"/>
                  <w:marTop w:val="240"/>
                  <w:marBottom w:val="240"/>
                  <w:divBdr>
                    <w:top w:val="none" w:sz="0" w:space="0" w:color="auto"/>
                    <w:left w:val="none" w:sz="0" w:space="0" w:color="auto"/>
                    <w:bottom w:val="none" w:sz="0" w:space="0" w:color="auto"/>
                    <w:right w:val="none" w:sz="0" w:space="0" w:color="auto"/>
                  </w:divBdr>
                </w:div>
              </w:divsChild>
            </w:div>
          </w:divsChild>
        </w:div>
      </w:divsChild>
    </w:div>
    <w:div w:id="1911036078">
      <w:bodyDiv w:val="1"/>
      <w:marLeft w:val="0"/>
      <w:marRight w:val="0"/>
      <w:marTop w:val="0"/>
      <w:marBottom w:val="0"/>
      <w:divBdr>
        <w:top w:val="none" w:sz="0" w:space="0" w:color="auto"/>
        <w:left w:val="none" w:sz="0" w:space="0" w:color="auto"/>
        <w:bottom w:val="none" w:sz="0" w:space="0" w:color="auto"/>
        <w:right w:val="none" w:sz="0" w:space="0" w:color="auto"/>
      </w:divBdr>
      <w:divsChild>
        <w:div w:id="2052996577">
          <w:marLeft w:val="3900"/>
          <w:marRight w:val="225"/>
          <w:marTop w:val="0"/>
          <w:marBottom w:val="225"/>
          <w:divBdr>
            <w:top w:val="none" w:sz="0" w:space="0" w:color="auto"/>
            <w:left w:val="none" w:sz="0" w:space="0" w:color="auto"/>
            <w:bottom w:val="none" w:sz="0" w:space="0" w:color="auto"/>
            <w:right w:val="none" w:sz="0" w:space="0" w:color="auto"/>
          </w:divBdr>
          <w:divsChild>
            <w:div w:id="347413576">
              <w:marLeft w:val="0"/>
              <w:marRight w:val="0"/>
              <w:marTop w:val="0"/>
              <w:marBottom w:val="0"/>
              <w:divBdr>
                <w:top w:val="none" w:sz="0" w:space="0" w:color="auto"/>
                <w:left w:val="none" w:sz="0" w:space="0" w:color="auto"/>
                <w:bottom w:val="none" w:sz="0" w:space="0" w:color="auto"/>
                <w:right w:val="none" w:sz="0" w:space="0" w:color="auto"/>
              </w:divBdr>
              <w:divsChild>
                <w:div w:id="1378776882">
                  <w:marLeft w:val="600"/>
                  <w:marRight w:val="0"/>
                  <w:marTop w:val="240"/>
                  <w:marBottom w:val="240"/>
                  <w:divBdr>
                    <w:top w:val="none" w:sz="0" w:space="0" w:color="auto"/>
                    <w:left w:val="none" w:sz="0" w:space="0" w:color="auto"/>
                    <w:bottom w:val="none" w:sz="0" w:space="0" w:color="auto"/>
                    <w:right w:val="none" w:sz="0" w:space="0" w:color="auto"/>
                  </w:divBdr>
                </w:div>
                <w:div w:id="811560591">
                  <w:marLeft w:val="600"/>
                  <w:marRight w:val="0"/>
                  <w:marTop w:val="240"/>
                  <w:marBottom w:val="240"/>
                  <w:divBdr>
                    <w:top w:val="none" w:sz="0" w:space="0" w:color="auto"/>
                    <w:left w:val="none" w:sz="0" w:space="0" w:color="auto"/>
                    <w:bottom w:val="none" w:sz="0" w:space="0" w:color="auto"/>
                    <w:right w:val="none" w:sz="0" w:space="0" w:color="auto"/>
                  </w:divBdr>
                  <w:divsChild>
                    <w:div w:id="1372917011">
                      <w:marLeft w:val="600"/>
                      <w:marRight w:val="0"/>
                      <w:marTop w:val="240"/>
                      <w:marBottom w:val="240"/>
                      <w:divBdr>
                        <w:top w:val="none" w:sz="0" w:space="0" w:color="auto"/>
                        <w:left w:val="none" w:sz="0" w:space="0" w:color="auto"/>
                        <w:bottom w:val="none" w:sz="0" w:space="0" w:color="auto"/>
                        <w:right w:val="none" w:sz="0" w:space="0" w:color="auto"/>
                      </w:divBdr>
                    </w:div>
                    <w:div w:id="716707924">
                      <w:marLeft w:val="600"/>
                      <w:marRight w:val="0"/>
                      <w:marTop w:val="240"/>
                      <w:marBottom w:val="240"/>
                      <w:divBdr>
                        <w:top w:val="none" w:sz="0" w:space="0" w:color="auto"/>
                        <w:left w:val="none" w:sz="0" w:space="0" w:color="auto"/>
                        <w:bottom w:val="none" w:sz="0" w:space="0" w:color="auto"/>
                        <w:right w:val="none" w:sz="0" w:space="0" w:color="auto"/>
                      </w:divBdr>
                    </w:div>
                    <w:div w:id="1892039304">
                      <w:marLeft w:val="600"/>
                      <w:marRight w:val="0"/>
                      <w:marTop w:val="240"/>
                      <w:marBottom w:val="240"/>
                      <w:divBdr>
                        <w:top w:val="none" w:sz="0" w:space="0" w:color="auto"/>
                        <w:left w:val="none" w:sz="0" w:space="0" w:color="auto"/>
                        <w:bottom w:val="none" w:sz="0" w:space="0" w:color="auto"/>
                        <w:right w:val="none" w:sz="0" w:space="0" w:color="auto"/>
                      </w:divBdr>
                    </w:div>
                    <w:div w:id="234366062">
                      <w:marLeft w:val="600"/>
                      <w:marRight w:val="0"/>
                      <w:marTop w:val="240"/>
                      <w:marBottom w:val="240"/>
                      <w:divBdr>
                        <w:top w:val="none" w:sz="0" w:space="0" w:color="auto"/>
                        <w:left w:val="none" w:sz="0" w:space="0" w:color="auto"/>
                        <w:bottom w:val="none" w:sz="0" w:space="0" w:color="auto"/>
                        <w:right w:val="none" w:sz="0" w:space="0" w:color="auto"/>
                      </w:divBdr>
                    </w:div>
                  </w:divsChild>
                </w:div>
                <w:div w:id="10767724">
                  <w:marLeft w:val="600"/>
                  <w:marRight w:val="0"/>
                  <w:marTop w:val="240"/>
                  <w:marBottom w:val="240"/>
                  <w:divBdr>
                    <w:top w:val="none" w:sz="0" w:space="0" w:color="auto"/>
                    <w:left w:val="none" w:sz="0" w:space="0" w:color="auto"/>
                    <w:bottom w:val="none" w:sz="0" w:space="0" w:color="auto"/>
                    <w:right w:val="none" w:sz="0" w:space="0" w:color="auto"/>
                  </w:divBdr>
                </w:div>
                <w:div w:id="1328098992">
                  <w:marLeft w:val="600"/>
                  <w:marRight w:val="0"/>
                  <w:marTop w:val="240"/>
                  <w:marBottom w:val="240"/>
                  <w:divBdr>
                    <w:top w:val="none" w:sz="0" w:space="0" w:color="auto"/>
                    <w:left w:val="none" w:sz="0" w:space="0" w:color="auto"/>
                    <w:bottom w:val="none" w:sz="0" w:space="0" w:color="auto"/>
                    <w:right w:val="none" w:sz="0" w:space="0" w:color="auto"/>
                  </w:divBdr>
                </w:div>
                <w:div w:id="866261176">
                  <w:marLeft w:val="600"/>
                  <w:marRight w:val="0"/>
                  <w:marTop w:val="240"/>
                  <w:marBottom w:val="240"/>
                  <w:divBdr>
                    <w:top w:val="none" w:sz="0" w:space="0" w:color="auto"/>
                    <w:left w:val="none" w:sz="0" w:space="0" w:color="auto"/>
                    <w:bottom w:val="none" w:sz="0" w:space="0" w:color="auto"/>
                    <w:right w:val="none" w:sz="0" w:space="0" w:color="auto"/>
                  </w:divBdr>
                </w:div>
                <w:div w:id="1202861745">
                  <w:marLeft w:val="600"/>
                  <w:marRight w:val="0"/>
                  <w:marTop w:val="240"/>
                  <w:marBottom w:val="240"/>
                  <w:divBdr>
                    <w:top w:val="none" w:sz="0" w:space="0" w:color="auto"/>
                    <w:left w:val="none" w:sz="0" w:space="0" w:color="auto"/>
                    <w:bottom w:val="none" w:sz="0" w:space="0" w:color="auto"/>
                    <w:right w:val="none" w:sz="0" w:space="0" w:color="auto"/>
                  </w:divBdr>
                </w:div>
                <w:div w:id="846670248">
                  <w:marLeft w:val="600"/>
                  <w:marRight w:val="0"/>
                  <w:marTop w:val="240"/>
                  <w:marBottom w:val="240"/>
                  <w:divBdr>
                    <w:top w:val="none" w:sz="0" w:space="0" w:color="auto"/>
                    <w:left w:val="none" w:sz="0" w:space="0" w:color="auto"/>
                    <w:bottom w:val="none" w:sz="0" w:space="0" w:color="auto"/>
                    <w:right w:val="none" w:sz="0" w:space="0" w:color="auto"/>
                  </w:divBdr>
                </w:div>
                <w:div w:id="582377243">
                  <w:marLeft w:val="600"/>
                  <w:marRight w:val="0"/>
                  <w:marTop w:val="240"/>
                  <w:marBottom w:val="240"/>
                  <w:divBdr>
                    <w:top w:val="none" w:sz="0" w:space="0" w:color="auto"/>
                    <w:left w:val="none" w:sz="0" w:space="0" w:color="auto"/>
                    <w:bottom w:val="none" w:sz="0" w:space="0" w:color="auto"/>
                    <w:right w:val="none" w:sz="0" w:space="0" w:color="auto"/>
                  </w:divBdr>
                </w:div>
                <w:div w:id="1038899358">
                  <w:marLeft w:val="600"/>
                  <w:marRight w:val="0"/>
                  <w:marTop w:val="240"/>
                  <w:marBottom w:val="240"/>
                  <w:divBdr>
                    <w:top w:val="none" w:sz="0" w:space="0" w:color="auto"/>
                    <w:left w:val="none" w:sz="0" w:space="0" w:color="auto"/>
                    <w:bottom w:val="none" w:sz="0" w:space="0" w:color="auto"/>
                    <w:right w:val="none" w:sz="0" w:space="0" w:color="auto"/>
                  </w:divBdr>
                  <w:divsChild>
                    <w:div w:id="711031725">
                      <w:marLeft w:val="600"/>
                      <w:marRight w:val="0"/>
                      <w:marTop w:val="240"/>
                      <w:marBottom w:val="240"/>
                      <w:divBdr>
                        <w:top w:val="none" w:sz="0" w:space="0" w:color="auto"/>
                        <w:left w:val="none" w:sz="0" w:space="0" w:color="auto"/>
                        <w:bottom w:val="none" w:sz="0" w:space="0" w:color="auto"/>
                        <w:right w:val="none" w:sz="0" w:space="0" w:color="auto"/>
                      </w:divBdr>
                    </w:div>
                    <w:div w:id="1141923316">
                      <w:marLeft w:val="600"/>
                      <w:marRight w:val="0"/>
                      <w:marTop w:val="240"/>
                      <w:marBottom w:val="240"/>
                      <w:divBdr>
                        <w:top w:val="none" w:sz="0" w:space="0" w:color="auto"/>
                        <w:left w:val="none" w:sz="0" w:space="0" w:color="auto"/>
                        <w:bottom w:val="none" w:sz="0" w:space="0" w:color="auto"/>
                        <w:right w:val="none" w:sz="0" w:space="0" w:color="auto"/>
                      </w:divBdr>
                    </w:div>
                    <w:div w:id="2060855467">
                      <w:marLeft w:val="0"/>
                      <w:marRight w:val="0"/>
                      <w:marTop w:val="0"/>
                      <w:marBottom w:val="0"/>
                      <w:divBdr>
                        <w:top w:val="none" w:sz="0" w:space="0" w:color="auto"/>
                        <w:left w:val="none" w:sz="0" w:space="0" w:color="auto"/>
                        <w:bottom w:val="none" w:sz="0" w:space="0" w:color="auto"/>
                        <w:right w:val="none" w:sz="0" w:space="0" w:color="auto"/>
                      </w:divBdr>
                    </w:div>
                  </w:divsChild>
                </w:div>
                <w:div w:id="1488978670">
                  <w:marLeft w:val="600"/>
                  <w:marRight w:val="0"/>
                  <w:marTop w:val="240"/>
                  <w:marBottom w:val="240"/>
                  <w:divBdr>
                    <w:top w:val="none" w:sz="0" w:space="0" w:color="auto"/>
                    <w:left w:val="none" w:sz="0" w:space="0" w:color="auto"/>
                    <w:bottom w:val="none" w:sz="0" w:space="0" w:color="auto"/>
                    <w:right w:val="none" w:sz="0" w:space="0" w:color="auto"/>
                  </w:divBdr>
                </w:div>
                <w:div w:id="2010938591">
                  <w:marLeft w:val="600"/>
                  <w:marRight w:val="0"/>
                  <w:marTop w:val="240"/>
                  <w:marBottom w:val="240"/>
                  <w:divBdr>
                    <w:top w:val="none" w:sz="0" w:space="0" w:color="auto"/>
                    <w:left w:val="none" w:sz="0" w:space="0" w:color="auto"/>
                    <w:bottom w:val="none" w:sz="0" w:space="0" w:color="auto"/>
                    <w:right w:val="none" w:sz="0" w:space="0" w:color="auto"/>
                  </w:divBdr>
                </w:div>
                <w:div w:id="288703861">
                  <w:marLeft w:val="600"/>
                  <w:marRight w:val="0"/>
                  <w:marTop w:val="240"/>
                  <w:marBottom w:val="240"/>
                  <w:divBdr>
                    <w:top w:val="none" w:sz="0" w:space="0" w:color="auto"/>
                    <w:left w:val="none" w:sz="0" w:space="0" w:color="auto"/>
                    <w:bottom w:val="none" w:sz="0" w:space="0" w:color="auto"/>
                    <w:right w:val="none" w:sz="0" w:space="0" w:color="auto"/>
                  </w:divBdr>
                </w:div>
                <w:div w:id="598177658">
                  <w:marLeft w:val="600"/>
                  <w:marRight w:val="0"/>
                  <w:marTop w:val="240"/>
                  <w:marBottom w:val="240"/>
                  <w:divBdr>
                    <w:top w:val="none" w:sz="0" w:space="0" w:color="auto"/>
                    <w:left w:val="none" w:sz="0" w:space="0" w:color="auto"/>
                    <w:bottom w:val="none" w:sz="0" w:space="0" w:color="auto"/>
                    <w:right w:val="none" w:sz="0" w:space="0" w:color="auto"/>
                  </w:divBdr>
                </w:div>
                <w:div w:id="661273228">
                  <w:marLeft w:val="600"/>
                  <w:marRight w:val="0"/>
                  <w:marTop w:val="240"/>
                  <w:marBottom w:val="24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rulebook.sgx.com/en/display/display.html?rbid=3271&amp;element_id=2848"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microsoft.com/office/2007/relationships/stylesWithEffects" Target="stylesWithEffect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494</Words>
  <Characters>2817</Characters>
  <Application>Microsoft Office Word</Application>
  <DocSecurity>4</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Singapore Exchange Limited</Company>
  <LinksUpToDate>false</LinksUpToDate>
  <CharactersWithSpaces>3305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Siu Lin Tan</dc:creator>
  <cp:lastModifiedBy>U6017892</cp:lastModifiedBy>
  <cp:revision>2</cp:revision>
  <dcterms:created xsi:type="dcterms:W3CDTF">2015-11-24T11:39:00Z</dcterms:created>
  <dcterms:modified xsi:type="dcterms:W3CDTF">2015-11-24T11:39:00Z</dcterms:modified>
</cp:coreProperties>
</file>