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1D9" w:rsidRDefault="001C01D9" w:rsidP="001C01D9">
      <w:pPr>
        <w:jc w:val="center"/>
        <w:rPr>
          <w:b/>
        </w:rPr>
      </w:pPr>
      <w:r>
        <w:rPr>
          <w:b/>
        </w:rPr>
        <w:t>CHANGES TO THE SGX-ST PRACTICE NOTES</w:t>
      </w:r>
    </w:p>
    <w:p w:rsidR="001C01D9" w:rsidRDefault="001C01D9">
      <w:pPr>
        <w:rPr>
          <w:b/>
        </w:rPr>
      </w:pPr>
    </w:p>
    <w:p w:rsidR="00FA26AA" w:rsidRPr="000A5255" w:rsidRDefault="001C01D9">
      <w:pPr>
        <w:rPr>
          <w:b/>
          <w:u w:val="single"/>
        </w:rPr>
      </w:pPr>
      <w:r w:rsidRPr="000A5255">
        <w:rPr>
          <w:b/>
          <w:u w:val="single"/>
        </w:rPr>
        <w:t>Practice Note 8.6 — Application of the Forced Order Range</w:t>
      </w:r>
    </w:p>
    <w:p w:rsidR="001C01D9" w:rsidRDefault="001C01D9"/>
    <w:p w:rsidR="001C01D9" w:rsidRPr="001C01D9" w:rsidRDefault="001C01D9" w:rsidP="001C01D9">
      <w:pPr>
        <w:rPr>
          <w:b/>
        </w:rPr>
      </w:pPr>
      <w:r w:rsidRPr="001C01D9">
        <w:rPr>
          <w:b/>
        </w:rPr>
        <w:t xml:space="preserve">Introduction </w:t>
      </w:r>
    </w:p>
    <w:p w:rsidR="001C01D9" w:rsidRDefault="001C01D9" w:rsidP="001C01D9"/>
    <w:p w:rsidR="001C01D9" w:rsidRDefault="001C01D9" w:rsidP="001C01D9">
      <w:r>
        <w:t>1.1 This Practice Note explains the application of the Forced Order Range as an error trade prevention measure.</w:t>
      </w:r>
    </w:p>
    <w:p w:rsidR="001C01D9" w:rsidRDefault="001C01D9" w:rsidP="001C01D9">
      <w:r>
        <w:t xml:space="preserve"> </w:t>
      </w:r>
    </w:p>
    <w:p w:rsidR="001C01D9" w:rsidRDefault="001C01D9" w:rsidP="001C01D9">
      <w:r>
        <w:t>1.2 Unless otherwise determined by SGX-ST, the Forced Order Range of the following products shall be as follows:</w:t>
      </w:r>
    </w:p>
    <w:p w:rsidR="001C01D9" w:rsidRDefault="001C01D9" w:rsidP="001C01D9"/>
    <w:tbl>
      <w:tblPr>
        <w:tblW w:w="4950" w:type="pct"/>
        <w:tblCellSpacing w:w="7" w:type="dxa"/>
        <w:shd w:val="clear" w:color="auto" w:fill="21076A"/>
        <w:tblCellMar>
          <w:top w:w="15" w:type="dxa"/>
          <w:left w:w="15" w:type="dxa"/>
          <w:bottom w:w="15" w:type="dxa"/>
          <w:right w:w="15" w:type="dxa"/>
        </w:tblCellMar>
        <w:tblLook w:val="04A0"/>
      </w:tblPr>
      <w:tblGrid>
        <w:gridCol w:w="236"/>
        <w:gridCol w:w="2813"/>
        <w:gridCol w:w="1467"/>
        <w:gridCol w:w="3137"/>
        <w:gridCol w:w="1760"/>
      </w:tblGrid>
      <w:tr w:rsidR="001C01D9" w:rsidRPr="001C01D9" w:rsidTr="001C01D9">
        <w:trPr>
          <w:tblCellSpacing w:w="7" w:type="dxa"/>
        </w:trPr>
        <w:tc>
          <w:tcPr>
            <w:tcW w:w="0" w:type="auto"/>
            <w:shd w:val="clear" w:color="auto" w:fill="371F79"/>
            <w:tcMar>
              <w:top w:w="60" w:type="dxa"/>
              <w:left w:w="60" w:type="dxa"/>
              <w:bottom w:w="60" w:type="dxa"/>
              <w:right w:w="60" w:type="dxa"/>
            </w:tcMar>
            <w:vAlign w:val="center"/>
            <w:hideMark/>
          </w:tcPr>
          <w:p w:rsidR="001C01D9" w:rsidRPr="001C01D9" w:rsidRDefault="001C01D9" w:rsidP="001C01D9">
            <w:pPr>
              <w:spacing w:line="240" w:lineRule="auto"/>
              <w:jc w:val="left"/>
              <w:rPr>
                <w:rFonts w:ascii="Arial" w:eastAsia="Times New Roman" w:hAnsi="Arial"/>
                <w:b/>
                <w:bCs/>
                <w:color w:val="FFFFFF"/>
                <w:sz w:val="17"/>
                <w:szCs w:val="17"/>
              </w:rPr>
            </w:pPr>
          </w:p>
        </w:tc>
        <w:tc>
          <w:tcPr>
            <w:tcW w:w="1500" w:type="pct"/>
            <w:shd w:val="clear" w:color="auto" w:fill="371F79"/>
            <w:tcMar>
              <w:top w:w="60" w:type="dxa"/>
              <w:left w:w="60" w:type="dxa"/>
              <w:bottom w:w="60" w:type="dxa"/>
              <w:right w:w="60" w:type="dxa"/>
            </w:tcMar>
            <w:vAlign w:val="center"/>
            <w:hideMark/>
          </w:tcPr>
          <w:p w:rsidR="001C01D9" w:rsidRPr="001C01D9" w:rsidRDefault="001C01D9" w:rsidP="001C01D9">
            <w:pPr>
              <w:spacing w:line="240" w:lineRule="auto"/>
              <w:jc w:val="left"/>
              <w:rPr>
                <w:rFonts w:ascii="Arial" w:eastAsia="Times New Roman" w:hAnsi="Arial"/>
                <w:b/>
                <w:bCs/>
                <w:color w:val="FFFFFF"/>
                <w:sz w:val="17"/>
                <w:szCs w:val="17"/>
              </w:rPr>
            </w:pPr>
            <w:r w:rsidRPr="001C01D9">
              <w:rPr>
                <w:rFonts w:ascii="Arial" w:eastAsia="Times New Roman" w:hAnsi="Arial"/>
                <w:b/>
                <w:bCs/>
                <w:color w:val="FFFFFF"/>
                <w:sz w:val="17"/>
                <w:szCs w:val="17"/>
              </w:rPr>
              <w:t xml:space="preserve">Product </w:t>
            </w:r>
          </w:p>
        </w:tc>
        <w:tc>
          <w:tcPr>
            <w:tcW w:w="0" w:type="auto"/>
            <w:shd w:val="clear" w:color="auto" w:fill="371F79"/>
            <w:tcMar>
              <w:top w:w="60" w:type="dxa"/>
              <w:left w:w="60" w:type="dxa"/>
              <w:bottom w:w="60" w:type="dxa"/>
              <w:right w:w="60" w:type="dxa"/>
            </w:tcMar>
            <w:vAlign w:val="center"/>
            <w:hideMark/>
          </w:tcPr>
          <w:p w:rsidR="001C01D9" w:rsidRPr="001C01D9" w:rsidRDefault="001C01D9" w:rsidP="001C01D9">
            <w:pPr>
              <w:spacing w:line="240" w:lineRule="auto"/>
              <w:jc w:val="left"/>
              <w:rPr>
                <w:rFonts w:ascii="Arial" w:eastAsia="Times New Roman" w:hAnsi="Arial"/>
                <w:b/>
                <w:bCs/>
                <w:color w:val="FFFFFF"/>
                <w:sz w:val="17"/>
                <w:szCs w:val="17"/>
              </w:rPr>
            </w:pPr>
            <w:r w:rsidRPr="001C01D9">
              <w:rPr>
                <w:rFonts w:ascii="Arial" w:eastAsia="Times New Roman" w:hAnsi="Arial"/>
                <w:b/>
                <w:bCs/>
                <w:color w:val="FFFFFF"/>
                <w:sz w:val="17"/>
                <w:szCs w:val="17"/>
              </w:rPr>
              <w:t xml:space="preserve">Price Range (S$) </w:t>
            </w:r>
          </w:p>
        </w:tc>
        <w:tc>
          <w:tcPr>
            <w:tcW w:w="0" w:type="auto"/>
            <w:shd w:val="clear" w:color="auto" w:fill="371F79"/>
            <w:tcMar>
              <w:top w:w="60" w:type="dxa"/>
              <w:left w:w="60" w:type="dxa"/>
              <w:bottom w:w="60" w:type="dxa"/>
              <w:right w:w="60" w:type="dxa"/>
            </w:tcMar>
            <w:vAlign w:val="center"/>
            <w:hideMark/>
          </w:tcPr>
          <w:p w:rsidR="001C01D9" w:rsidRPr="001C01D9" w:rsidRDefault="001C01D9" w:rsidP="001C01D9">
            <w:pPr>
              <w:spacing w:line="240" w:lineRule="auto"/>
              <w:jc w:val="left"/>
              <w:rPr>
                <w:rFonts w:ascii="Arial" w:eastAsia="Times New Roman" w:hAnsi="Arial"/>
                <w:b/>
                <w:bCs/>
                <w:color w:val="FFFFFF"/>
                <w:sz w:val="17"/>
                <w:szCs w:val="17"/>
              </w:rPr>
            </w:pPr>
            <w:r w:rsidRPr="001C01D9">
              <w:rPr>
                <w:rFonts w:ascii="Arial" w:eastAsia="Times New Roman" w:hAnsi="Arial"/>
                <w:b/>
                <w:bCs/>
                <w:color w:val="FFFFFF"/>
                <w:sz w:val="17"/>
                <w:szCs w:val="17"/>
              </w:rPr>
              <w:t xml:space="preserve">Minimum Bid Size (S$) </w:t>
            </w:r>
          </w:p>
        </w:tc>
        <w:tc>
          <w:tcPr>
            <w:tcW w:w="0" w:type="auto"/>
            <w:shd w:val="clear" w:color="auto" w:fill="371F79"/>
            <w:tcMar>
              <w:top w:w="60" w:type="dxa"/>
              <w:left w:w="60" w:type="dxa"/>
              <w:bottom w:w="60" w:type="dxa"/>
              <w:right w:w="60" w:type="dxa"/>
            </w:tcMar>
            <w:vAlign w:val="center"/>
            <w:hideMark/>
          </w:tcPr>
          <w:p w:rsidR="001C01D9" w:rsidRPr="001C01D9" w:rsidRDefault="001C01D9" w:rsidP="001C01D9">
            <w:pPr>
              <w:spacing w:line="240" w:lineRule="auto"/>
              <w:jc w:val="left"/>
              <w:rPr>
                <w:rFonts w:ascii="Arial" w:eastAsia="Times New Roman" w:hAnsi="Arial"/>
                <w:b/>
                <w:bCs/>
                <w:color w:val="FFFFFF"/>
                <w:sz w:val="17"/>
                <w:szCs w:val="17"/>
              </w:rPr>
            </w:pPr>
            <w:r w:rsidRPr="001C01D9">
              <w:rPr>
                <w:rFonts w:ascii="Arial" w:eastAsia="Times New Roman" w:hAnsi="Arial"/>
                <w:b/>
                <w:bCs/>
                <w:color w:val="FFFFFF"/>
                <w:sz w:val="17"/>
                <w:szCs w:val="17"/>
              </w:rPr>
              <w:t xml:space="preserve">Forced Order Range </w:t>
            </w:r>
          </w:p>
        </w:tc>
      </w:tr>
      <w:tr w:rsidR="001C01D9" w:rsidRPr="001C01D9" w:rsidTr="000A5255">
        <w:trPr>
          <w:tblCellSpacing w:w="7" w:type="dxa"/>
        </w:trPr>
        <w:tc>
          <w:tcPr>
            <w:tcW w:w="0" w:type="auto"/>
            <w:vMerge w:val="restart"/>
            <w:shd w:val="clear" w:color="auto" w:fill="FFFFFF"/>
            <w:tcMar>
              <w:top w:w="60" w:type="dxa"/>
              <w:left w:w="60" w:type="dxa"/>
              <w:bottom w:w="60" w:type="dxa"/>
              <w:right w:w="60" w:type="dxa"/>
            </w:tcMar>
            <w:vAlign w:val="center"/>
            <w:hideMark/>
          </w:tcPr>
          <w:p w:rsidR="001C01D9" w:rsidRPr="001C01D9" w:rsidRDefault="001C01D9" w:rsidP="001C01D9">
            <w:pPr>
              <w:spacing w:line="240" w:lineRule="auto"/>
              <w:jc w:val="left"/>
              <w:rPr>
                <w:rFonts w:ascii="Arial" w:eastAsia="Times New Roman" w:hAnsi="Arial"/>
                <w:color w:val="333333"/>
                <w:sz w:val="17"/>
                <w:szCs w:val="17"/>
              </w:rPr>
            </w:pPr>
            <w:r w:rsidRPr="001C01D9">
              <w:rPr>
                <w:rFonts w:ascii="Arial" w:eastAsia="Times New Roman" w:hAnsi="Arial"/>
                <w:color w:val="333333"/>
                <w:sz w:val="17"/>
                <w:szCs w:val="17"/>
              </w:rPr>
              <w:t xml:space="preserve">1 </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left"/>
              <w:rPr>
                <w:rFonts w:ascii="Arial" w:eastAsia="Times New Roman" w:hAnsi="Arial"/>
                <w:color w:val="333333"/>
                <w:sz w:val="17"/>
                <w:szCs w:val="17"/>
              </w:rPr>
            </w:pPr>
            <w:r w:rsidRPr="001C01D9">
              <w:rPr>
                <w:rFonts w:ascii="Arial" w:eastAsia="Times New Roman" w:hAnsi="Arial"/>
                <w:color w:val="333333"/>
                <w:sz w:val="17"/>
                <w:szCs w:val="17"/>
              </w:rPr>
              <w:t xml:space="preserve">Stocks (including preference shares), Real Estate Investment Trusts (REITS), business trusts, warrants and any other class of securities or Futures Contracts not specified in this Rule 8.3.3 </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xml:space="preserve">Below 0.20 </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xml:space="preserve">0.001 </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xml:space="preserve">+/- 20 bids </w:t>
            </w:r>
          </w:p>
        </w:tc>
      </w:tr>
      <w:tr w:rsidR="001C01D9" w:rsidRPr="001C01D9" w:rsidTr="000A5255">
        <w:trPr>
          <w:tblCellSpacing w:w="7" w:type="dxa"/>
        </w:trPr>
        <w:tc>
          <w:tcPr>
            <w:tcW w:w="0" w:type="auto"/>
            <w:vMerge/>
            <w:shd w:val="clear" w:color="auto" w:fill="21076A"/>
            <w:vAlign w:val="center"/>
            <w:hideMark/>
          </w:tcPr>
          <w:p w:rsidR="001C01D9" w:rsidRPr="001C01D9" w:rsidRDefault="001C01D9" w:rsidP="001C01D9">
            <w:pPr>
              <w:spacing w:line="240" w:lineRule="auto"/>
              <w:jc w:val="left"/>
              <w:rPr>
                <w:rFonts w:ascii="Arial" w:eastAsia="Times New Roman" w:hAnsi="Arial"/>
                <w:color w:val="333333"/>
                <w:sz w:val="17"/>
                <w:szCs w:val="17"/>
              </w:rPr>
            </w:pPr>
          </w:p>
        </w:tc>
        <w:tc>
          <w:tcPr>
            <w:tcW w:w="0" w:type="auto"/>
            <w:vMerge/>
            <w:tcBorders>
              <w:top w:val="single" w:sz="4" w:space="0" w:color="auto"/>
              <w:left w:val="single" w:sz="4" w:space="0" w:color="auto"/>
              <w:bottom w:val="single" w:sz="4" w:space="0" w:color="auto"/>
              <w:right w:val="single" w:sz="4" w:space="0" w:color="auto"/>
            </w:tcBorders>
            <w:shd w:val="clear" w:color="auto" w:fill="21076A"/>
            <w:vAlign w:val="center"/>
            <w:hideMark/>
          </w:tcPr>
          <w:p w:rsidR="001C01D9" w:rsidRPr="001C01D9" w:rsidRDefault="001C01D9" w:rsidP="001C01D9">
            <w:pPr>
              <w:spacing w:line="240" w:lineRule="auto"/>
              <w:jc w:val="left"/>
              <w:rPr>
                <w:rFonts w:ascii="Arial" w:eastAsia="Times New Roman" w:hAnsi="Arial"/>
                <w:color w:val="333333"/>
                <w:sz w:val="17"/>
                <w:szCs w:val="17"/>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xml:space="preserve">0.20 – 1.995 </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xml:space="preserve">0.005 </w:t>
            </w:r>
          </w:p>
        </w:tc>
        <w:tc>
          <w:tcPr>
            <w:tcW w:w="0" w:type="auto"/>
            <w:vMerge/>
            <w:tcBorders>
              <w:top w:val="single" w:sz="4" w:space="0" w:color="auto"/>
              <w:left w:val="single" w:sz="4" w:space="0" w:color="auto"/>
              <w:bottom w:val="single" w:sz="4" w:space="0" w:color="auto"/>
              <w:right w:val="single" w:sz="4" w:space="0" w:color="auto"/>
            </w:tcBorders>
            <w:shd w:val="clear" w:color="auto" w:fill="21076A"/>
            <w:vAlign w:val="center"/>
            <w:hideMark/>
          </w:tcPr>
          <w:p w:rsidR="001C01D9" w:rsidRPr="001C01D9" w:rsidRDefault="001C01D9" w:rsidP="001C01D9">
            <w:pPr>
              <w:spacing w:line="240" w:lineRule="auto"/>
              <w:jc w:val="left"/>
              <w:rPr>
                <w:rFonts w:ascii="Arial" w:eastAsia="Times New Roman" w:hAnsi="Arial"/>
                <w:color w:val="333333"/>
                <w:sz w:val="17"/>
                <w:szCs w:val="17"/>
              </w:rPr>
            </w:pPr>
          </w:p>
        </w:tc>
      </w:tr>
      <w:tr w:rsidR="001C01D9" w:rsidRPr="001C01D9" w:rsidTr="000A5255">
        <w:trPr>
          <w:tblCellSpacing w:w="7" w:type="dxa"/>
        </w:trPr>
        <w:tc>
          <w:tcPr>
            <w:tcW w:w="0" w:type="auto"/>
            <w:vMerge/>
            <w:shd w:val="clear" w:color="auto" w:fill="21076A"/>
            <w:vAlign w:val="center"/>
            <w:hideMark/>
          </w:tcPr>
          <w:p w:rsidR="001C01D9" w:rsidRPr="001C01D9" w:rsidRDefault="001C01D9" w:rsidP="001C01D9">
            <w:pPr>
              <w:spacing w:line="240" w:lineRule="auto"/>
              <w:jc w:val="left"/>
              <w:rPr>
                <w:rFonts w:ascii="Arial" w:eastAsia="Times New Roman" w:hAnsi="Arial"/>
                <w:color w:val="333333"/>
                <w:sz w:val="17"/>
                <w:szCs w:val="17"/>
              </w:rPr>
            </w:pPr>
          </w:p>
        </w:tc>
        <w:tc>
          <w:tcPr>
            <w:tcW w:w="0" w:type="auto"/>
            <w:vMerge/>
            <w:tcBorders>
              <w:top w:val="single" w:sz="4" w:space="0" w:color="auto"/>
              <w:left w:val="single" w:sz="4" w:space="0" w:color="auto"/>
              <w:bottom w:val="single" w:sz="4" w:space="0" w:color="auto"/>
              <w:right w:val="single" w:sz="4" w:space="0" w:color="auto"/>
            </w:tcBorders>
            <w:shd w:val="clear" w:color="auto" w:fill="21076A"/>
            <w:vAlign w:val="center"/>
            <w:hideMark/>
          </w:tcPr>
          <w:p w:rsidR="001C01D9" w:rsidRPr="001C01D9" w:rsidRDefault="001C01D9" w:rsidP="001C01D9">
            <w:pPr>
              <w:spacing w:line="240" w:lineRule="auto"/>
              <w:jc w:val="left"/>
              <w:rPr>
                <w:rFonts w:ascii="Arial" w:eastAsia="Times New Roman" w:hAnsi="Arial"/>
                <w:color w:val="333333"/>
                <w:sz w:val="17"/>
                <w:szCs w:val="17"/>
              </w:rPr>
            </w:pP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xml:space="preserve">2.00 and above </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xml:space="preserve">0.01 </w:t>
            </w:r>
          </w:p>
        </w:tc>
        <w:tc>
          <w:tcPr>
            <w:tcW w:w="0" w:type="auto"/>
            <w:vMerge/>
            <w:tcBorders>
              <w:top w:val="single" w:sz="4" w:space="0" w:color="auto"/>
              <w:left w:val="single" w:sz="4" w:space="0" w:color="auto"/>
              <w:bottom w:val="single" w:sz="4" w:space="0" w:color="auto"/>
              <w:right w:val="single" w:sz="4" w:space="0" w:color="auto"/>
            </w:tcBorders>
            <w:shd w:val="clear" w:color="auto" w:fill="21076A"/>
            <w:vAlign w:val="center"/>
            <w:hideMark/>
          </w:tcPr>
          <w:p w:rsidR="001C01D9" w:rsidRPr="001C01D9" w:rsidRDefault="001C01D9" w:rsidP="001C01D9">
            <w:pPr>
              <w:spacing w:line="240" w:lineRule="auto"/>
              <w:jc w:val="left"/>
              <w:rPr>
                <w:rFonts w:ascii="Arial" w:eastAsia="Times New Roman" w:hAnsi="Arial"/>
                <w:color w:val="333333"/>
                <w:sz w:val="17"/>
                <w:szCs w:val="17"/>
              </w:rPr>
            </w:pPr>
          </w:p>
        </w:tc>
      </w:tr>
      <w:tr w:rsidR="001C01D9" w:rsidRPr="001C01D9" w:rsidTr="000A5255">
        <w:trPr>
          <w:tblCellSpacing w:w="7" w:type="dxa"/>
        </w:trPr>
        <w:tc>
          <w:tcPr>
            <w:tcW w:w="0" w:type="auto"/>
            <w:shd w:val="clear" w:color="auto" w:fill="FFFFFF"/>
            <w:tcMar>
              <w:top w:w="60" w:type="dxa"/>
              <w:left w:w="60" w:type="dxa"/>
              <w:bottom w:w="60" w:type="dxa"/>
              <w:right w:w="60" w:type="dxa"/>
            </w:tcMar>
            <w:hideMark/>
          </w:tcPr>
          <w:p w:rsidR="001C01D9" w:rsidRPr="001C01D9" w:rsidRDefault="001C01D9" w:rsidP="001C01D9">
            <w:pPr>
              <w:spacing w:line="240" w:lineRule="auto"/>
              <w:jc w:val="left"/>
              <w:rPr>
                <w:rFonts w:ascii="Arial" w:eastAsia="Times New Roman" w:hAnsi="Arial"/>
                <w:color w:val="333333"/>
                <w:sz w:val="17"/>
                <w:szCs w:val="17"/>
              </w:rPr>
            </w:pPr>
            <w:r w:rsidRPr="001C01D9">
              <w:rPr>
                <w:rFonts w:ascii="Arial" w:eastAsia="Times New Roman" w:hAnsi="Arial"/>
                <w:color w:val="333333"/>
                <w:sz w:val="17"/>
                <w:szCs w:val="17"/>
              </w:rPr>
              <w:t xml:space="preserve">2 </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left"/>
              <w:rPr>
                <w:rFonts w:ascii="Arial" w:eastAsia="Times New Roman" w:hAnsi="Arial"/>
                <w:color w:val="333333"/>
                <w:sz w:val="17"/>
                <w:szCs w:val="17"/>
              </w:rPr>
            </w:pPr>
            <w:r w:rsidRPr="001C01D9">
              <w:rPr>
                <w:rFonts w:ascii="Arial" w:eastAsia="Times New Roman" w:hAnsi="Arial"/>
                <w:color w:val="333333"/>
                <w:sz w:val="17"/>
                <w:szCs w:val="17"/>
              </w:rPr>
              <w:t xml:space="preserve">Exchange traded funds and debentures </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xml:space="preserve">All </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xml:space="preserve">0.01 or 0.001 as determined by SGX-ST </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hideMark/>
          </w:tcPr>
          <w:p w:rsidR="001C01D9" w:rsidRPr="001C01D9" w:rsidRDefault="001C01D9" w:rsidP="001C01D9">
            <w:pPr>
              <w:spacing w:line="240" w:lineRule="auto"/>
              <w:jc w:val="center"/>
              <w:rPr>
                <w:rFonts w:ascii="Arial" w:eastAsia="Times New Roman" w:hAnsi="Arial"/>
                <w:color w:val="333333"/>
                <w:sz w:val="17"/>
                <w:szCs w:val="17"/>
              </w:rPr>
            </w:pPr>
            <w:r w:rsidRPr="001C01D9">
              <w:rPr>
                <w:rFonts w:ascii="Arial" w:eastAsia="Times New Roman" w:hAnsi="Arial"/>
                <w:color w:val="333333"/>
                <w:sz w:val="17"/>
                <w:szCs w:val="17"/>
              </w:rPr>
              <w:t>+/- 30 bids</w:t>
            </w:r>
          </w:p>
        </w:tc>
      </w:tr>
      <w:tr w:rsidR="001C01D9" w:rsidRPr="001C01D9" w:rsidTr="001C01D9">
        <w:trPr>
          <w:tblCellSpacing w:w="7" w:type="dxa"/>
        </w:trPr>
        <w:tc>
          <w:tcPr>
            <w:tcW w:w="0" w:type="auto"/>
            <w:shd w:val="clear" w:color="auto" w:fill="21076A"/>
            <w:vAlign w:val="center"/>
            <w:hideMark/>
          </w:tcPr>
          <w:p w:rsidR="001C01D9" w:rsidRPr="001C01D9" w:rsidRDefault="001C01D9" w:rsidP="001C01D9">
            <w:pPr>
              <w:spacing w:line="240" w:lineRule="auto"/>
              <w:jc w:val="left"/>
              <w:rPr>
                <w:rFonts w:ascii="Arial" w:eastAsia="Times New Roman" w:hAnsi="Arial"/>
                <w:color w:val="333333"/>
                <w:sz w:val="17"/>
                <w:szCs w:val="17"/>
              </w:rPr>
            </w:pPr>
          </w:p>
        </w:tc>
        <w:tc>
          <w:tcPr>
            <w:tcW w:w="0" w:type="auto"/>
            <w:shd w:val="clear" w:color="auto" w:fill="21076A"/>
            <w:vAlign w:val="center"/>
            <w:hideMark/>
          </w:tcPr>
          <w:p w:rsidR="001C01D9" w:rsidRPr="001C01D9" w:rsidRDefault="001C01D9" w:rsidP="001C01D9">
            <w:pPr>
              <w:spacing w:line="240" w:lineRule="auto"/>
              <w:jc w:val="left"/>
              <w:rPr>
                <w:rFonts w:ascii="Times New Roman" w:eastAsia="Times New Roman" w:hAnsi="Times New Roman" w:cs="Times New Roman"/>
                <w:sz w:val="20"/>
              </w:rPr>
            </w:pPr>
          </w:p>
        </w:tc>
        <w:tc>
          <w:tcPr>
            <w:tcW w:w="0" w:type="auto"/>
            <w:shd w:val="clear" w:color="auto" w:fill="21076A"/>
            <w:vAlign w:val="center"/>
            <w:hideMark/>
          </w:tcPr>
          <w:p w:rsidR="001C01D9" w:rsidRPr="001C01D9" w:rsidRDefault="001C01D9" w:rsidP="001C01D9">
            <w:pPr>
              <w:spacing w:line="240" w:lineRule="auto"/>
              <w:jc w:val="left"/>
              <w:rPr>
                <w:rFonts w:ascii="Times New Roman" w:eastAsia="Times New Roman" w:hAnsi="Times New Roman" w:cs="Times New Roman"/>
                <w:sz w:val="20"/>
              </w:rPr>
            </w:pPr>
          </w:p>
        </w:tc>
        <w:tc>
          <w:tcPr>
            <w:tcW w:w="0" w:type="auto"/>
            <w:shd w:val="clear" w:color="auto" w:fill="21076A"/>
            <w:vAlign w:val="center"/>
            <w:hideMark/>
          </w:tcPr>
          <w:p w:rsidR="001C01D9" w:rsidRPr="001C01D9" w:rsidRDefault="001C01D9" w:rsidP="001C01D9">
            <w:pPr>
              <w:spacing w:line="240" w:lineRule="auto"/>
              <w:jc w:val="left"/>
              <w:rPr>
                <w:rFonts w:ascii="Times New Roman" w:eastAsia="Times New Roman" w:hAnsi="Times New Roman" w:cs="Times New Roman"/>
                <w:sz w:val="20"/>
              </w:rPr>
            </w:pPr>
          </w:p>
        </w:tc>
        <w:tc>
          <w:tcPr>
            <w:tcW w:w="0" w:type="auto"/>
            <w:vMerge/>
            <w:shd w:val="clear" w:color="auto" w:fill="21076A"/>
            <w:vAlign w:val="center"/>
            <w:hideMark/>
          </w:tcPr>
          <w:p w:rsidR="001C01D9" w:rsidRPr="001C01D9" w:rsidRDefault="001C01D9" w:rsidP="001C01D9">
            <w:pPr>
              <w:spacing w:line="240" w:lineRule="auto"/>
              <w:jc w:val="left"/>
              <w:rPr>
                <w:rFonts w:ascii="Arial" w:eastAsia="Times New Roman" w:hAnsi="Arial"/>
                <w:color w:val="333333"/>
                <w:sz w:val="17"/>
                <w:szCs w:val="17"/>
              </w:rPr>
            </w:pPr>
          </w:p>
        </w:tc>
      </w:tr>
    </w:tbl>
    <w:p w:rsidR="001C01D9" w:rsidRDefault="001C01D9" w:rsidP="001C01D9"/>
    <w:p w:rsidR="001C01D9" w:rsidRDefault="001C01D9" w:rsidP="001C01D9">
      <w:r>
        <w:t>1.3 Subject to paragraph 1.4 of this Practice Note 8.6, SGX-ST provides a pre-execution mechanism, known as the Forced Key function, to mitigate the occurrence of error trades resulting from errors in the entry of order prices. Orders entered at prices outside the Forced Order Range must be confirmed by using the Forced Key function, before the orders may be submitted.</w:t>
      </w:r>
    </w:p>
    <w:p w:rsidR="001C01D9" w:rsidRDefault="001C01D9" w:rsidP="001C01D9">
      <w:r>
        <w:t xml:space="preserve"> </w:t>
      </w:r>
    </w:p>
    <w:p w:rsidR="001C01D9" w:rsidRPr="001C01D9" w:rsidRDefault="001C01D9" w:rsidP="001C01D9">
      <w:pPr>
        <w:rPr>
          <w:strike/>
        </w:rPr>
      </w:pPr>
      <w:r>
        <w:t xml:space="preserve">1.3A The Forced Key function will not be applicable prior to the first trade on the first day of trading of </w:t>
      </w:r>
      <w:r w:rsidRPr="00935F89">
        <w:rPr>
          <w:strike/>
          <w:color w:val="FF0000"/>
        </w:rPr>
        <w:t xml:space="preserve">the following: </w:t>
      </w:r>
    </w:p>
    <w:p w:rsidR="000A5255" w:rsidRDefault="000A5255" w:rsidP="001C01D9">
      <w:pPr>
        <w:rPr>
          <w:strike/>
          <w:color w:val="0000FF"/>
        </w:rPr>
      </w:pPr>
    </w:p>
    <w:p w:rsidR="001C01D9" w:rsidRDefault="001C01D9" w:rsidP="001C01D9">
      <w:r w:rsidRPr="00935F89">
        <w:rPr>
          <w:strike/>
          <w:color w:val="FF0000"/>
        </w:rPr>
        <w:t xml:space="preserve">(a) </w:t>
      </w:r>
      <w:proofErr w:type="gramStart"/>
      <w:r>
        <w:t>any</w:t>
      </w:r>
      <w:proofErr w:type="gramEnd"/>
      <w:r>
        <w:t xml:space="preserve"> newly-listed instrument</w:t>
      </w:r>
      <w:r w:rsidR="000448CF" w:rsidRPr="000448CF">
        <w:rPr>
          <w:color w:val="0000FF"/>
          <w:u w:val="single"/>
        </w:rPr>
        <w:t>.</w:t>
      </w:r>
      <w:r w:rsidRPr="00935F89">
        <w:rPr>
          <w:strike/>
          <w:color w:val="FF0000"/>
        </w:rPr>
        <w:t>; and</w:t>
      </w:r>
      <w:r w:rsidRPr="00935F89">
        <w:rPr>
          <w:color w:val="FF0000"/>
        </w:rPr>
        <w:t xml:space="preserve"> </w:t>
      </w:r>
    </w:p>
    <w:p w:rsidR="000A5255" w:rsidRDefault="000A5255" w:rsidP="001C01D9">
      <w:pPr>
        <w:rPr>
          <w:strike/>
          <w:color w:val="0000FF"/>
        </w:rPr>
      </w:pPr>
    </w:p>
    <w:p w:rsidR="001C01D9" w:rsidRPr="00935F89" w:rsidRDefault="001C01D9" w:rsidP="001C01D9">
      <w:pPr>
        <w:rPr>
          <w:strike/>
          <w:color w:val="FF0000"/>
        </w:rPr>
      </w:pPr>
      <w:r w:rsidRPr="00935F89">
        <w:rPr>
          <w:strike/>
          <w:color w:val="FF0000"/>
        </w:rPr>
        <w:t xml:space="preserve">(b) </w:t>
      </w:r>
      <w:proofErr w:type="gramStart"/>
      <w:r w:rsidRPr="00935F89">
        <w:rPr>
          <w:strike/>
          <w:color w:val="FF0000"/>
        </w:rPr>
        <w:t>shares</w:t>
      </w:r>
      <w:proofErr w:type="gramEnd"/>
      <w:r w:rsidRPr="00935F89">
        <w:rPr>
          <w:strike/>
          <w:color w:val="FF0000"/>
        </w:rPr>
        <w:t xml:space="preserve"> of a company immediately following a consolidation or subdivision of the shares. </w:t>
      </w:r>
    </w:p>
    <w:p w:rsidR="001C01D9" w:rsidRDefault="001C01D9" w:rsidP="001C01D9"/>
    <w:p w:rsidR="001C01D9" w:rsidRPr="001C01D9" w:rsidRDefault="001C01D9" w:rsidP="001C01D9">
      <w:pPr>
        <w:rPr>
          <w:color w:val="0000FF"/>
          <w:u w:val="single"/>
        </w:rPr>
      </w:pPr>
      <w:r w:rsidRPr="001C01D9">
        <w:rPr>
          <w:color w:val="0000FF"/>
          <w:u w:val="single"/>
        </w:rPr>
        <w:t>1.3B SGX-ST may, at its discretion apply the Forced Key function in particular cases notwithstanding paragraph 1.3A.  If SGX-ST uses its discretion to apply the Forced Key function to any such case SGX-ST will give prior notice to Members.</w:t>
      </w:r>
      <w:bookmarkStart w:id="0" w:name="_GoBack"/>
      <w:bookmarkEnd w:id="0"/>
    </w:p>
    <w:p w:rsidR="001C01D9" w:rsidRDefault="001C01D9" w:rsidP="001C01D9"/>
    <w:p w:rsidR="001C01D9" w:rsidRDefault="001C01D9" w:rsidP="001C01D9">
      <w:r>
        <w:t>1.4 The Forced Key function is intended to complement, and not replace, Members' responsibility to adopt adequate and appropriate measures and practices to safeguard against the execution of error trades.</w:t>
      </w:r>
    </w:p>
    <w:p w:rsidR="001C01D9" w:rsidRDefault="001C01D9" w:rsidP="001C01D9">
      <w:r>
        <w:t xml:space="preserve"> </w:t>
      </w:r>
    </w:p>
    <w:p w:rsidR="001C01D9" w:rsidRPr="001C01D9" w:rsidRDefault="001C01D9" w:rsidP="001C01D9">
      <w:pPr>
        <w:rPr>
          <w:b/>
        </w:rPr>
      </w:pPr>
      <w:r w:rsidRPr="001C01D9">
        <w:rPr>
          <w:b/>
        </w:rPr>
        <w:t xml:space="preserve">2. Risk Management Controls </w:t>
      </w:r>
    </w:p>
    <w:p w:rsidR="001C01D9" w:rsidRDefault="001C01D9" w:rsidP="001C01D9"/>
    <w:p w:rsidR="001C01D9" w:rsidRDefault="001C01D9" w:rsidP="001C01D9">
      <w:r>
        <w:t xml:space="preserve">2.1 In order to mitigate the occurrence of error trades resulting from errors in the entry of order prices, Trading Members should: </w:t>
      </w:r>
    </w:p>
    <w:p w:rsidR="000A5255" w:rsidRDefault="000A5255" w:rsidP="001C01D9"/>
    <w:p w:rsidR="001C01D9" w:rsidRDefault="001C01D9" w:rsidP="001C01D9">
      <w:r>
        <w:t xml:space="preserve">(a) </w:t>
      </w:r>
      <w:proofErr w:type="gramStart"/>
      <w:r>
        <w:t>ensure</w:t>
      </w:r>
      <w:proofErr w:type="gramEnd"/>
      <w:r>
        <w:t xml:space="preserve"> that the Forced Key alert is available; </w:t>
      </w:r>
    </w:p>
    <w:p w:rsidR="000A5255" w:rsidRDefault="000A5255" w:rsidP="001C01D9"/>
    <w:p w:rsidR="001C01D9" w:rsidRDefault="001C01D9" w:rsidP="001C01D9">
      <w:r>
        <w:t xml:space="preserve">(b) </w:t>
      </w:r>
      <w:proofErr w:type="gramStart"/>
      <w:r>
        <w:t>encourage</w:t>
      </w:r>
      <w:proofErr w:type="gramEnd"/>
      <w:r>
        <w:t xml:space="preserve"> Trading Representatives to exercise judgment when accepting an instruction from a customer to execute an order priced outside the Forced Order Range; and </w:t>
      </w:r>
    </w:p>
    <w:p w:rsidR="000A5255" w:rsidRDefault="000A5255" w:rsidP="001C01D9"/>
    <w:p w:rsidR="001C01D9" w:rsidRDefault="001C01D9" w:rsidP="001C01D9">
      <w:r>
        <w:t xml:space="preserve">(c) </w:t>
      </w:r>
      <w:proofErr w:type="gramStart"/>
      <w:r>
        <w:t>ensure</w:t>
      </w:r>
      <w:proofErr w:type="gramEnd"/>
      <w:r>
        <w:t xml:space="preserve"> that procedures are in place to determine if there are legitimate commercial reasons for orders priced outside the Forced Order Range.</w:t>
      </w:r>
    </w:p>
    <w:p w:rsidR="001C01D9" w:rsidRDefault="001C01D9" w:rsidP="001C01D9"/>
    <w:p w:rsidR="000A5255" w:rsidRDefault="000A5255">
      <w:pPr>
        <w:rPr>
          <w:b/>
          <w:u w:val="single"/>
        </w:rPr>
      </w:pPr>
    </w:p>
    <w:p w:rsidR="001C01D9" w:rsidRPr="000A5255" w:rsidRDefault="001C01D9" w:rsidP="001C01D9">
      <w:pPr>
        <w:rPr>
          <w:b/>
          <w:u w:val="single"/>
        </w:rPr>
      </w:pPr>
      <w:r w:rsidRPr="000A5255">
        <w:rPr>
          <w:b/>
          <w:u w:val="single"/>
        </w:rPr>
        <w:t xml:space="preserve">Practice Note </w:t>
      </w:r>
      <w:proofErr w:type="gramStart"/>
      <w:r w:rsidRPr="000A5255">
        <w:rPr>
          <w:b/>
          <w:u w:val="single"/>
        </w:rPr>
        <w:t>8.6.13A(</w:t>
      </w:r>
      <w:proofErr w:type="gramEnd"/>
      <w:r w:rsidRPr="000A5255">
        <w:rPr>
          <w:b/>
          <w:u w:val="single"/>
        </w:rPr>
        <w:t>3) — Alternative Reference Price For No-Cancellation Range</w:t>
      </w:r>
    </w:p>
    <w:p w:rsidR="001C01D9" w:rsidRDefault="001C01D9" w:rsidP="001C01D9"/>
    <w:p w:rsidR="001C01D9" w:rsidRPr="000A5255" w:rsidRDefault="001C01D9" w:rsidP="001C01D9">
      <w:pPr>
        <w:rPr>
          <w:b/>
        </w:rPr>
      </w:pPr>
      <w:r w:rsidRPr="000A5255">
        <w:rPr>
          <w:b/>
        </w:rPr>
        <w:t xml:space="preserve">1. Introduction </w:t>
      </w:r>
    </w:p>
    <w:p w:rsidR="001C01D9" w:rsidRDefault="001C01D9" w:rsidP="001C01D9"/>
    <w:p w:rsidR="001C01D9" w:rsidRDefault="001C01D9" w:rsidP="001C01D9">
      <w:r>
        <w:t>1.1 Rule 8.6.13A(3) provides that SGX-ST may, in its discretion, use an alternative price as the Reference Price for the no-cancellation range if (a) the price of the last good trade is not available; or (b) SGX-ST deems the price of the last good trade to be unreliable or inappropriate as a Reference Price.</w:t>
      </w:r>
    </w:p>
    <w:p w:rsidR="001C01D9" w:rsidRDefault="001C01D9" w:rsidP="001C01D9">
      <w:r>
        <w:t xml:space="preserve"> </w:t>
      </w:r>
    </w:p>
    <w:p w:rsidR="001C01D9" w:rsidRDefault="001C01D9" w:rsidP="001C01D9">
      <w:r>
        <w:t>1.2 In normal market conditions, the price of the last good trade is adopted as the Reference Price. However, SGX-ST has considered that there may be situations where the price of the last good trade is not available or not appropriate. In such situations, SGX would seek to establish a Reference Price from alternative sources.</w:t>
      </w:r>
    </w:p>
    <w:p w:rsidR="001C01D9" w:rsidRDefault="001C01D9" w:rsidP="001C01D9">
      <w:r>
        <w:t xml:space="preserve"> </w:t>
      </w:r>
    </w:p>
    <w:p w:rsidR="001C01D9" w:rsidRDefault="001C01D9" w:rsidP="001C01D9">
      <w:r>
        <w:t>1.3. This Practice Note sets out the alternative prices that SGX-ST may consider in establishing the Reference Price when the price of the last good trade is inappropriate.</w:t>
      </w:r>
    </w:p>
    <w:p w:rsidR="001C01D9" w:rsidRDefault="001C01D9" w:rsidP="001C01D9"/>
    <w:p w:rsidR="001C01D9" w:rsidRPr="001C01D9" w:rsidRDefault="001C01D9" w:rsidP="001C01D9">
      <w:pPr>
        <w:rPr>
          <w:b/>
        </w:rPr>
      </w:pPr>
      <w:r w:rsidRPr="001C01D9">
        <w:rPr>
          <w:b/>
        </w:rPr>
        <w:t xml:space="preserve">2. Alternative Prices </w:t>
      </w:r>
    </w:p>
    <w:p w:rsidR="001C01D9" w:rsidRDefault="001C01D9" w:rsidP="001C01D9"/>
    <w:p w:rsidR="001C01D9" w:rsidRDefault="001C01D9" w:rsidP="001C01D9">
      <w:r>
        <w:t>2.1. The table below sets out the alternative prices that SGX-ST may consider in establishing the Reference Price to determine the no-cancellation range.</w:t>
      </w:r>
    </w:p>
    <w:p w:rsidR="001C01D9" w:rsidRDefault="001C01D9" w:rsidP="001C01D9"/>
    <w:tbl>
      <w:tblPr>
        <w:tblW w:w="4950" w:type="pct"/>
        <w:tblCellSpacing w:w="7" w:type="dxa"/>
        <w:shd w:val="clear" w:color="auto" w:fill="21076A"/>
        <w:tblCellMar>
          <w:top w:w="15" w:type="dxa"/>
          <w:left w:w="15" w:type="dxa"/>
          <w:bottom w:w="15" w:type="dxa"/>
          <w:right w:w="15" w:type="dxa"/>
        </w:tblCellMar>
        <w:tblLook w:val="04A0"/>
      </w:tblPr>
      <w:tblGrid>
        <w:gridCol w:w="2151"/>
        <w:gridCol w:w="7262"/>
      </w:tblGrid>
      <w:tr w:rsidR="001C01D9" w:rsidRPr="001C01D9" w:rsidTr="001C01D9">
        <w:trPr>
          <w:tblHeader/>
          <w:tblCellSpacing w:w="7" w:type="dxa"/>
        </w:trPr>
        <w:tc>
          <w:tcPr>
            <w:tcW w:w="0" w:type="auto"/>
            <w:shd w:val="clear" w:color="auto" w:fill="21076A"/>
            <w:tcMar>
              <w:top w:w="60" w:type="dxa"/>
              <w:left w:w="60" w:type="dxa"/>
              <w:bottom w:w="60" w:type="dxa"/>
              <w:right w:w="60" w:type="dxa"/>
            </w:tcMar>
            <w:vAlign w:val="center"/>
            <w:hideMark/>
          </w:tcPr>
          <w:p w:rsidR="001C01D9" w:rsidRPr="001C01D9" w:rsidRDefault="001C01D9" w:rsidP="001C01D9">
            <w:pPr>
              <w:spacing w:line="240" w:lineRule="auto"/>
              <w:jc w:val="center"/>
              <w:rPr>
                <w:rFonts w:ascii="Arial" w:eastAsia="Times New Roman" w:hAnsi="Arial"/>
                <w:b/>
                <w:bCs/>
                <w:color w:val="FFFFFF"/>
                <w:sz w:val="17"/>
                <w:szCs w:val="17"/>
              </w:rPr>
            </w:pPr>
            <w:r w:rsidRPr="001C01D9">
              <w:rPr>
                <w:rFonts w:ascii="Arial" w:eastAsia="Times New Roman" w:hAnsi="Arial"/>
                <w:b/>
                <w:bCs/>
                <w:color w:val="FFFFFF"/>
                <w:sz w:val="17"/>
                <w:szCs w:val="17"/>
              </w:rPr>
              <w:t xml:space="preserve">Instrument </w:t>
            </w:r>
          </w:p>
        </w:tc>
        <w:tc>
          <w:tcPr>
            <w:tcW w:w="0" w:type="auto"/>
            <w:shd w:val="clear" w:color="auto" w:fill="21076A"/>
            <w:tcMar>
              <w:top w:w="60" w:type="dxa"/>
              <w:left w:w="60" w:type="dxa"/>
              <w:bottom w:w="60" w:type="dxa"/>
              <w:right w:w="60" w:type="dxa"/>
            </w:tcMar>
            <w:vAlign w:val="center"/>
            <w:hideMark/>
          </w:tcPr>
          <w:p w:rsidR="001C01D9" w:rsidRPr="001C01D9" w:rsidRDefault="001C01D9" w:rsidP="001C01D9">
            <w:pPr>
              <w:spacing w:line="240" w:lineRule="auto"/>
              <w:jc w:val="center"/>
              <w:rPr>
                <w:rFonts w:ascii="Arial" w:eastAsia="Times New Roman" w:hAnsi="Arial"/>
                <w:b/>
                <w:bCs/>
                <w:color w:val="FFFFFF"/>
                <w:sz w:val="17"/>
                <w:szCs w:val="17"/>
              </w:rPr>
            </w:pPr>
            <w:r w:rsidRPr="001C01D9">
              <w:rPr>
                <w:rFonts w:ascii="Arial" w:eastAsia="Times New Roman" w:hAnsi="Arial"/>
                <w:b/>
                <w:bCs/>
                <w:color w:val="FFFFFF"/>
                <w:sz w:val="17"/>
                <w:szCs w:val="17"/>
              </w:rPr>
              <w:t xml:space="preserve">Alternative prices that may be adopted as the Reference Price </w:t>
            </w:r>
          </w:p>
        </w:tc>
      </w:tr>
      <w:tr w:rsidR="001C01D9" w:rsidRPr="001C01D9" w:rsidTr="001C01D9">
        <w:trPr>
          <w:tblCellSpacing w:w="7" w:type="dxa"/>
        </w:trPr>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left"/>
              <w:rPr>
                <w:rFonts w:ascii="Arial" w:eastAsia="Times New Roman" w:hAnsi="Arial"/>
                <w:color w:val="333333"/>
                <w:sz w:val="17"/>
                <w:szCs w:val="17"/>
              </w:rPr>
            </w:pPr>
            <w:r w:rsidRPr="001C01D9">
              <w:rPr>
                <w:rFonts w:ascii="Arial" w:eastAsia="Times New Roman" w:hAnsi="Arial"/>
                <w:color w:val="333333"/>
                <w:sz w:val="17"/>
                <w:szCs w:val="17"/>
              </w:rPr>
              <w:t>Extended Settlement Contracts</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ind w:left="302" w:hanging="302"/>
              <w:jc w:val="left"/>
              <w:rPr>
                <w:rFonts w:ascii="Arial" w:eastAsia="Times New Roman" w:hAnsi="Arial"/>
                <w:color w:val="333333"/>
                <w:sz w:val="17"/>
                <w:szCs w:val="17"/>
              </w:rPr>
            </w:pPr>
            <w:r w:rsidRPr="001C01D9">
              <w:rPr>
                <w:rFonts w:ascii="Arial" w:eastAsia="Times New Roman" w:hAnsi="Arial"/>
                <w:color w:val="333333"/>
                <w:sz w:val="17"/>
                <w:szCs w:val="17"/>
              </w:rPr>
              <w:t>• The previous closing price.</w:t>
            </w:r>
          </w:p>
          <w:p w:rsidR="001C01D9" w:rsidRDefault="001C01D9" w:rsidP="001C01D9">
            <w:pPr>
              <w:spacing w:line="240" w:lineRule="auto"/>
              <w:ind w:left="302" w:hanging="302"/>
              <w:jc w:val="left"/>
              <w:rPr>
                <w:rFonts w:ascii="Arial" w:eastAsia="Times New Roman" w:hAnsi="Arial"/>
                <w:color w:val="333333"/>
                <w:sz w:val="17"/>
                <w:szCs w:val="17"/>
              </w:rPr>
            </w:pPr>
            <w:r w:rsidRPr="001C01D9">
              <w:rPr>
                <w:rFonts w:ascii="Arial" w:eastAsia="Times New Roman" w:hAnsi="Arial"/>
                <w:color w:val="333333"/>
                <w:sz w:val="17"/>
                <w:szCs w:val="17"/>
              </w:rPr>
              <w:t>• The price of the last good trade in the underlying stock.</w:t>
            </w:r>
          </w:p>
          <w:p w:rsidR="000448CF" w:rsidRPr="001C01D9" w:rsidRDefault="000448CF" w:rsidP="001C01D9">
            <w:pPr>
              <w:spacing w:line="240" w:lineRule="auto"/>
              <w:ind w:left="302" w:hanging="302"/>
              <w:jc w:val="left"/>
              <w:rPr>
                <w:rFonts w:ascii="Arial" w:eastAsia="Times New Roman" w:hAnsi="Arial"/>
                <w:color w:val="333333"/>
                <w:sz w:val="17"/>
                <w:szCs w:val="17"/>
              </w:rPr>
            </w:pPr>
            <w:r>
              <w:rPr>
                <w:rFonts w:ascii="Arial" w:eastAsia="Times New Roman" w:hAnsi="Arial"/>
                <w:color w:val="333333"/>
                <w:sz w:val="17"/>
                <w:szCs w:val="17"/>
              </w:rPr>
              <w:t xml:space="preserve">A price </w:t>
            </w:r>
          </w:p>
        </w:tc>
      </w:tr>
      <w:tr w:rsidR="001C01D9" w:rsidRPr="001C01D9" w:rsidTr="001C01D9">
        <w:trPr>
          <w:tblCellSpacing w:w="7" w:type="dxa"/>
        </w:trPr>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left"/>
              <w:rPr>
                <w:rFonts w:ascii="Arial" w:eastAsia="Times New Roman" w:hAnsi="Arial"/>
                <w:color w:val="333333"/>
                <w:sz w:val="17"/>
                <w:szCs w:val="17"/>
              </w:rPr>
            </w:pPr>
            <w:r w:rsidRPr="001C01D9">
              <w:rPr>
                <w:rFonts w:ascii="Arial" w:eastAsia="Times New Roman" w:hAnsi="Arial"/>
                <w:color w:val="333333"/>
                <w:sz w:val="17"/>
                <w:szCs w:val="17"/>
              </w:rPr>
              <w:t>American Depository Receipts</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ind w:left="302" w:hanging="302"/>
              <w:jc w:val="left"/>
              <w:rPr>
                <w:rFonts w:ascii="Arial" w:eastAsia="Times New Roman" w:hAnsi="Arial"/>
                <w:color w:val="333333"/>
                <w:sz w:val="17"/>
                <w:szCs w:val="17"/>
              </w:rPr>
            </w:pPr>
            <w:r w:rsidRPr="001C01D9">
              <w:rPr>
                <w:rFonts w:ascii="Arial" w:eastAsia="Times New Roman" w:hAnsi="Arial"/>
                <w:color w:val="333333"/>
                <w:sz w:val="17"/>
                <w:szCs w:val="17"/>
              </w:rPr>
              <w:t>• The previous closing price of the underlying stock in home market.</w:t>
            </w:r>
          </w:p>
          <w:p w:rsidR="001C01D9" w:rsidRPr="001C01D9" w:rsidRDefault="001C01D9" w:rsidP="001C01D9">
            <w:pPr>
              <w:spacing w:line="240" w:lineRule="auto"/>
              <w:ind w:left="302" w:hanging="302"/>
              <w:jc w:val="left"/>
              <w:rPr>
                <w:rFonts w:ascii="Arial" w:eastAsia="Times New Roman" w:hAnsi="Arial"/>
                <w:color w:val="333333"/>
                <w:sz w:val="17"/>
                <w:szCs w:val="17"/>
              </w:rPr>
            </w:pPr>
            <w:r w:rsidRPr="001C01D9">
              <w:rPr>
                <w:rFonts w:ascii="Arial" w:eastAsia="Times New Roman" w:hAnsi="Arial"/>
                <w:color w:val="333333"/>
                <w:sz w:val="17"/>
                <w:szCs w:val="17"/>
              </w:rPr>
              <w:t>• The previous closing price of the ADR in the US market.</w:t>
            </w:r>
          </w:p>
        </w:tc>
      </w:tr>
      <w:tr w:rsidR="001C01D9" w:rsidRPr="001C01D9" w:rsidTr="001C01D9">
        <w:trPr>
          <w:tblCellSpacing w:w="7" w:type="dxa"/>
        </w:trPr>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left"/>
              <w:rPr>
                <w:rFonts w:ascii="Arial" w:eastAsia="Times New Roman" w:hAnsi="Arial"/>
                <w:color w:val="333333"/>
                <w:sz w:val="17"/>
                <w:szCs w:val="17"/>
              </w:rPr>
            </w:pPr>
            <w:r w:rsidRPr="001C01D9">
              <w:rPr>
                <w:rFonts w:ascii="Arial" w:eastAsia="Times New Roman" w:hAnsi="Arial"/>
                <w:color w:val="333333"/>
                <w:sz w:val="17"/>
                <w:szCs w:val="17"/>
              </w:rPr>
              <w:t>Exchange Traded Funds</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ind w:left="302" w:hanging="302"/>
              <w:jc w:val="left"/>
              <w:rPr>
                <w:rFonts w:ascii="Arial" w:eastAsia="Times New Roman" w:hAnsi="Arial"/>
                <w:color w:val="333333"/>
                <w:sz w:val="17"/>
                <w:szCs w:val="17"/>
              </w:rPr>
            </w:pPr>
            <w:r w:rsidRPr="001C01D9">
              <w:rPr>
                <w:rFonts w:ascii="Arial" w:eastAsia="Times New Roman" w:hAnsi="Arial"/>
                <w:color w:val="333333"/>
                <w:sz w:val="17"/>
                <w:szCs w:val="17"/>
              </w:rPr>
              <w:t xml:space="preserve">• The previous closing price as determined in accordance with </w:t>
            </w:r>
            <w:hyperlink r:id="rId7" w:tgtFrame="_blank" w:history="1">
              <w:r w:rsidRPr="001C01D9">
                <w:rPr>
                  <w:rFonts w:ascii="Arial" w:eastAsia="Times New Roman" w:hAnsi="Arial"/>
                  <w:color w:val="233288"/>
                  <w:sz w:val="17"/>
                  <w:szCs w:val="17"/>
                  <w:u w:val="single"/>
                </w:rPr>
                <w:t>Rule 8.2A</w:t>
              </w:r>
            </w:hyperlink>
            <w:r w:rsidRPr="001C01D9">
              <w:rPr>
                <w:rFonts w:ascii="Arial" w:eastAsia="Times New Roman" w:hAnsi="Arial"/>
                <w:color w:val="333333"/>
                <w:sz w:val="17"/>
                <w:szCs w:val="17"/>
              </w:rPr>
              <w:t>.</w:t>
            </w:r>
          </w:p>
          <w:p w:rsidR="001C01D9" w:rsidRPr="001C01D9" w:rsidRDefault="001C01D9" w:rsidP="001C01D9">
            <w:pPr>
              <w:spacing w:line="240" w:lineRule="auto"/>
              <w:ind w:left="302" w:hanging="302"/>
              <w:jc w:val="left"/>
              <w:rPr>
                <w:rFonts w:ascii="Arial" w:eastAsia="Times New Roman" w:hAnsi="Arial"/>
                <w:color w:val="333333"/>
                <w:sz w:val="17"/>
                <w:szCs w:val="17"/>
              </w:rPr>
            </w:pPr>
            <w:r w:rsidRPr="001C01D9">
              <w:rPr>
                <w:rFonts w:ascii="Arial" w:eastAsia="Times New Roman" w:hAnsi="Arial"/>
                <w:color w:val="333333"/>
                <w:sz w:val="17"/>
                <w:szCs w:val="17"/>
              </w:rPr>
              <w:t xml:space="preserve">• The average of the last quoted bid price and the last quoted offer price for the Exchange Traded Fund immediately preceding the error trade. The selection will not include the </w:t>
            </w:r>
            <w:r w:rsidRPr="001C01D9">
              <w:rPr>
                <w:rFonts w:ascii="Arial" w:eastAsia="Times New Roman" w:hAnsi="Arial"/>
                <w:color w:val="333333"/>
                <w:sz w:val="17"/>
                <w:szCs w:val="17"/>
              </w:rPr>
              <w:lastRenderedPageBreak/>
              <w:t>quotes provided by the Designated Market-Maker who is involved in the error trade which is under review.</w:t>
            </w:r>
          </w:p>
          <w:p w:rsidR="001C01D9" w:rsidRPr="001C01D9" w:rsidRDefault="001C01D9" w:rsidP="001C01D9">
            <w:pPr>
              <w:spacing w:line="240" w:lineRule="auto"/>
              <w:ind w:left="302" w:hanging="302"/>
              <w:jc w:val="left"/>
              <w:rPr>
                <w:rFonts w:ascii="Arial" w:eastAsia="Times New Roman" w:hAnsi="Arial"/>
                <w:color w:val="333333"/>
                <w:sz w:val="17"/>
                <w:szCs w:val="17"/>
              </w:rPr>
            </w:pPr>
            <w:r w:rsidRPr="001C01D9">
              <w:rPr>
                <w:rFonts w:ascii="Arial" w:eastAsia="Times New Roman" w:hAnsi="Arial"/>
                <w:color w:val="333333"/>
                <w:sz w:val="17"/>
                <w:szCs w:val="17"/>
              </w:rPr>
              <w:t>• The Indicative Net Asset Value.</w:t>
            </w:r>
          </w:p>
        </w:tc>
      </w:tr>
      <w:tr w:rsidR="001C01D9" w:rsidRPr="001C01D9" w:rsidTr="001C01D9">
        <w:trPr>
          <w:tblCellSpacing w:w="7" w:type="dxa"/>
        </w:trPr>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left"/>
              <w:rPr>
                <w:rFonts w:ascii="Arial" w:eastAsia="Times New Roman" w:hAnsi="Arial"/>
                <w:color w:val="333333"/>
                <w:sz w:val="17"/>
                <w:szCs w:val="17"/>
              </w:rPr>
            </w:pPr>
            <w:r w:rsidRPr="001C01D9">
              <w:rPr>
                <w:rFonts w:ascii="Arial" w:eastAsia="Times New Roman" w:hAnsi="Arial"/>
                <w:color w:val="333333"/>
                <w:sz w:val="17"/>
                <w:szCs w:val="17"/>
              </w:rPr>
              <w:lastRenderedPageBreak/>
              <w:t>Exchange Traded Notes</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ind w:left="302" w:hanging="302"/>
              <w:jc w:val="left"/>
              <w:rPr>
                <w:rFonts w:ascii="Arial" w:eastAsia="Times New Roman" w:hAnsi="Arial"/>
                <w:color w:val="333333"/>
                <w:sz w:val="17"/>
                <w:szCs w:val="17"/>
              </w:rPr>
            </w:pPr>
            <w:r w:rsidRPr="001C01D9">
              <w:rPr>
                <w:rFonts w:ascii="Arial" w:eastAsia="Times New Roman" w:hAnsi="Arial"/>
                <w:color w:val="333333"/>
                <w:sz w:val="17"/>
                <w:szCs w:val="17"/>
              </w:rPr>
              <w:t>• The average of the last quoted bid and the last quoted offer price for the Exchange Traded Note immediately preceding the error trade. The selection will not include the quotes provided by the Designated Market-Maker who is involved in the error trade which is under review.</w:t>
            </w:r>
          </w:p>
          <w:p w:rsidR="001C01D9" w:rsidRPr="001C01D9" w:rsidRDefault="001C01D9" w:rsidP="001C01D9">
            <w:pPr>
              <w:spacing w:line="240" w:lineRule="auto"/>
              <w:ind w:left="302" w:hanging="302"/>
              <w:jc w:val="left"/>
              <w:rPr>
                <w:rFonts w:ascii="Arial" w:eastAsia="Times New Roman" w:hAnsi="Arial"/>
                <w:color w:val="333333"/>
                <w:sz w:val="17"/>
                <w:szCs w:val="17"/>
              </w:rPr>
            </w:pPr>
            <w:r w:rsidRPr="001C01D9">
              <w:rPr>
                <w:rFonts w:ascii="Arial" w:eastAsia="Times New Roman" w:hAnsi="Arial"/>
                <w:color w:val="333333"/>
                <w:sz w:val="17"/>
                <w:szCs w:val="17"/>
              </w:rPr>
              <w:t>• The price of other debt papers with a similar credit rating.</w:t>
            </w:r>
          </w:p>
        </w:tc>
      </w:tr>
      <w:tr w:rsidR="001C01D9" w:rsidRPr="001C01D9" w:rsidTr="001C01D9">
        <w:trPr>
          <w:tblCellSpacing w:w="7" w:type="dxa"/>
        </w:trPr>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jc w:val="left"/>
              <w:rPr>
                <w:rFonts w:ascii="Arial" w:eastAsia="Times New Roman" w:hAnsi="Arial"/>
                <w:color w:val="333333"/>
                <w:sz w:val="17"/>
                <w:szCs w:val="17"/>
              </w:rPr>
            </w:pPr>
            <w:r w:rsidRPr="001C01D9">
              <w:rPr>
                <w:rFonts w:ascii="Arial" w:eastAsia="Times New Roman" w:hAnsi="Arial"/>
                <w:color w:val="333333"/>
                <w:sz w:val="17"/>
                <w:szCs w:val="17"/>
              </w:rPr>
              <w:t>All other securities (excluding bonds and structured warrants)</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hideMark/>
          </w:tcPr>
          <w:p w:rsidR="001C01D9" w:rsidRPr="001C01D9" w:rsidRDefault="001C01D9" w:rsidP="001C01D9">
            <w:pPr>
              <w:spacing w:line="240" w:lineRule="auto"/>
              <w:ind w:left="302" w:hanging="302"/>
              <w:jc w:val="left"/>
              <w:rPr>
                <w:rFonts w:ascii="Arial" w:eastAsia="Times New Roman" w:hAnsi="Arial"/>
                <w:color w:val="333333"/>
                <w:sz w:val="17"/>
                <w:szCs w:val="17"/>
              </w:rPr>
            </w:pPr>
            <w:r w:rsidRPr="000448CF">
              <w:rPr>
                <w:rFonts w:ascii="Arial" w:eastAsia="Times New Roman" w:hAnsi="Arial"/>
                <w:color w:val="333333"/>
                <w:sz w:val="17"/>
                <w:szCs w:val="17"/>
              </w:rPr>
              <w:t>• The previous closing price.</w:t>
            </w:r>
          </w:p>
          <w:p w:rsidR="001C01D9" w:rsidRPr="000448CF" w:rsidRDefault="001C01D9" w:rsidP="001C01D9">
            <w:pPr>
              <w:spacing w:line="240" w:lineRule="auto"/>
              <w:ind w:left="302" w:hanging="302"/>
              <w:jc w:val="left"/>
              <w:rPr>
                <w:rFonts w:ascii="Arial" w:eastAsia="Times New Roman" w:hAnsi="Arial"/>
                <w:color w:val="333333"/>
                <w:sz w:val="17"/>
                <w:szCs w:val="17"/>
              </w:rPr>
            </w:pPr>
            <w:r w:rsidRPr="000448CF">
              <w:rPr>
                <w:rFonts w:ascii="Arial" w:eastAsia="Times New Roman" w:hAnsi="Arial"/>
                <w:color w:val="333333"/>
                <w:sz w:val="17"/>
                <w:szCs w:val="17"/>
              </w:rPr>
              <w:t>• The average of the last quoted bid price and the last quoted offer price for the security immediately preceding the error trade. The selection will not include the quotes provided by the parties who are involved in the error trade which is under review.</w:t>
            </w:r>
          </w:p>
          <w:p w:rsidR="000448CF" w:rsidRPr="00D41103" w:rsidRDefault="000448CF" w:rsidP="00D41103">
            <w:pPr>
              <w:pStyle w:val="ListParagraph"/>
              <w:numPr>
                <w:ilvl w:val="0"/>
                <w:numId w:val="1"/>
              </w:numPr>
              <w:spacing w:line="240" w:lineRule="auto"/>
              <w:jc w:val="left"/>
              <w:rPr>
                <w:rFonts w:ascii="Arial" w:eastAsia="Times New Roman" w:hAnsi="Arial"/>
                <w:color w:val="333333"/>
                <w:sz w:val="17"/>
                <w:szCs w:val="17"/>
              </w:rPr>
            </w:pPr>
            <w:r w:rsidRPr="00D41103">
              <w:rPr>
                <w:rFonts w:ascii="Arial" w:hAnsi="Arial"/>
                <w:color w:val="0000FF"/>
                <w:sz w:val="17"/>
                <w:szCs w:val="17"/>
                <w:u w:val="single"/>
              </w:rPr>
              <w:t>A price derived from a pricing model established by SGX-ST</w:t>
            </w:r>
            <w:r w:rsidR="00D41103" w:rsidRPr="00B77053">
              <w:rPr>
                <w:rFonts w:ascii="Arial" w:hAnsi="Arial"/>
                <w:color w:val="0000FF"/>
                <w:sz w:val="17"/>
                <w:szCs w:val="17"/>
                <w:u w:val="single"/>
              </w:rPr>
              <w:t xml:space="preserve">.  For example, in the case of a share consolidation, SGX-ST may use the last traded price </w:t>
            </w:r>
            <w:r w:rsidR="00B77053" w:rsidRPr="00B77053">
              <w:rPr>
                <w:rFonts w:ascii="Arial" w:hAnsi="Arial"/>
                <w:color w:val="0000FF"/>
                <w:sz w:val="17"/>
                <w:szCs w:val="17"/>
                <w:u w:val="single"/>
              </w:rPr>
              <w:t xml:space="preserve">prior to the effective date of the consolidation, </w:t>
            </w:r>
            <w:r w:rsidR="00D41103" w:rsidRPr="00B77053">
              <w:rPr>
                <w:rFonts w:ascii="Arial" w:hAnsi="Arial"/>
                <w:color w:val="0000FF"/>
                <w:sz w:val="17"/>
                <w:szCs w:val="17"/>
                <w:u w:val="single"/>
              </w:rPr>
              <w:t>adjusted for the consolidation ratio.</w:t>
            </w:r>
            <w:r w:rsidR="00D41103" w:rsidRPr="00D41103">
              <w:rPr>
                <w:rFonts w:ascii="Arial" w:hAnsi="Arial"/>
                <w:color w:val="0000FF"/>
                <w:sz w:val="17"/>
                <w:szCs w:val="17"/>
                <w:u w:val="single"/>
              </w:rPr>
              <w:t xml:space="preserve">  </w:t>
            </w:r>
          </w:p>
        </w:tc>
      </w:tr>
    </w:tbl>
    <w:p w:rsidR="001C01D9" w:rsidRDefault="001C01D9" w:rsidP="001C01D9"/>
    <w:p w:rsidR="001C01D9" w:rsidRPr="001C01D9" w:rsidRDefault="001C01D9" w:rsidP="001C01D9">
      <w:pPr>
        <w:rPr>
          <w:b/>
        </w:rPr>
      </w:pPr>
      <w:r w:rsidRPr="001C01D9">
        <w:rPr>
          <w:b/>
        </w:rPr>
        <w:t xml:space="preserve">3. Alternative Prices Unsuitable </w:t>
      </w:r>
    </w:p>
    <w:p w:rsidR="001C01D9" w:rsidRDefault="001C01D9" w:rsidP="001C01D9"/>
    <w:p w:rsidR="001C01D9" w:rsidRDefault="001C01D9" w:rsidP="001C01D9">
      <w:r>
        <w:t>3.1. Where SGX-ST determines that an appropriate Reference Price cannot be established, it will not establish a no-cancellation range.</w:t>
      </w:r>
    </w:p>
    <w:p w:rsidR="009F0454" w:rsidRDefault="009F0454" w:rsidP="001C01D9"/>
    <w:p w:rsidR="009F0454" w:rsidRDefault="009F0454" w:rsidP="001C01D9"/>
    <w:p w:rsidR="000A5255" w:rsidRDefault="000A5255" w:rsidP="001C01D9">
      <w:pPr>
        <w:rPr>
          <w:b/>
          <w:u w:val="single"/>
        </w:rPr>
      </w:pPr>
      <w:r w:rsidRPr="000A5255">
        <w:rPr>
          <w:b/>
          <w:u w:val="single"/>
        </w:rPr>
        <w:t>Practice Note 8.10A — Circuit Breaker</w:t>
      </w:r>
    </w:p>
    <w:p w:rsidR="000A5255" w:rsidRDefault="000A5255" w:rsidP="001C01D9"/>
    <w:p w:rsidR="000A5255" w:rsidRPr="000A5255" w:rsidRDefault="000A5255" w:rsidP="000A5255">
      <w:pPr>
        <w:rPr>
          <w:b/>
        </w:rPr>
      </w:pPr>
      <w:r w:rsidRPr="000A5255">
        <w:rPr>
          <w:b/>
        </w:rPr>
        <w:t xml:space="preserve">1. Introduction </w:t>
      </w:r>
    </w:p>
    <w:p w:rsidR="000A5255" w:rsidRDefault="000A5255" w:rsidP="000A5255"/>
    <w:p w:rsidR="000A5255" w:rsidRDefault="000A5255" w:rsidP="000A5255">
      <w:r>
        <w:t>1.1. Rule 8.10A.1 states that SGX-ST may prescribe, for certain securities and Futures Contracts, Circuit Breakers which are designed to temporarily restrict trading in these securities and Futures Contracts.</w:t>
      </w:r>
    </w:p>
    <w:p w:rsidR="000A5255" w:rsidRDefault="000A5255" w:rsidP="000A5255">
      <w:r>
        <w:t xml:space="preserve"> </w:t>
      </w:r>
    </w:p>
    <w:p w:rsidR="000A5255" w:rsidRDefault="000A5255" w:rsidP="000A5255">
      <w:r>
        <w:t>1.2. Rule 8.10A.2 adds that SGX-ST shall impose a Cooling-Off Period on such security or Futures Contract referred to in Rule 8.10A.1 if an incoming order seeks to be matched, either partially or fully, with an existing order in the Trading System at a price outside the Circuit Breaker</w:t>
      </w:r>
      <w:r w:rsidR="00935F89" w:rsidRPr="00935F89">
        <w:rPr>
          <w:strike/>
          <w:color w:val="FF0000"/>
          <w:u w:val="single"/>
        </w:rPr>
        <w:t>,</w:t>
      </w:r>
      <w:r w:rsidR="005F3EF8" w:rsidRPr="005F3EF8">
        <w:rPr>
          <w:color w:val="0000FF"/>
          <w:u w:val="single"/>
        </w:rPr>
        <w:t>.</w:t>
      </w:r>
    </w:p>
    <w:p w:rsidR="000A5255" w:rsidRDefault="000A5255" w:rsidP="000A5255">
      <w:r>
        <w:t xml:space="preserve"> </w:t>
      </w:r>
    </w:p>
    <w:p w:rsidR="000A5255" w:rsidRDefault="000A5255" w:rsidP="000A5255">
      <w:r>
        <w:t>1.3. The Cooling-Off Period can guard against disorderly situations in the face of rapid and unchecked market movements, by allowing the market and regulators a pause to take stock of the situation.</w:t>
      </w:r>
    </w:p>
    <w:p w:rsidR="000A5255" w:rsidRDefault="000A5255" w:rsidP="000A5255">
      <w:r>
        <w:t xml:space="preserve"> </w:t>
      </w:r>
    </w:p>
    <w:p w:rsidR="000A5255" w:rsidRDefault="000A5255" w:rsidP="000A5255">
      <w:r>
        <w:t xml:space="preserve">1.4. It is not intended to halt price movement. A fundamental role of a capital market is timely and accurate price discovery; as such, the market should be allowed to determine its own prices so long as it remains fair and orderly. Where large price movements are justified, what the circuit breaker facilitates is a more measured market movement enabled by the imposition of pauses which allow the market to </w:t>
      </w:r>
      <w:proofErr w:type="spellStart"/>
      <w:r>
        <w:t>analyse</w:t>
      </w:r>
      <w:proofErr w:type="spellEnd"/>
      <w:r>
        <w:t xml:space="preserve"> market conditions and all available information before resuming. By moderating the pace of big price movements, the circuit breaker prevents alarm to the market and averts contagion risk to other markets.</w:t>
      </w:r>
    </w:p>
    <w:p w:rsidR="000A5255" w:rsidRDefault="000A5255" w:rsidP="000A5255">
      <w:r>
        <w:t xml:space="preserve"> </w:t>
      </w:r>
    </w:p>
    <w:p w:rsidR="000A5255" w:rsidRPr="000A5255" w:rsidRDefault="000A5255" w:rsidP="000A5255">
      <w:pPr>
        <w:rPr>
          <w:b/>
        </w:rPr>
      </w:pPr>
      <w:r w:rsidRPr="000A5255">
        <w:rPr>
          <w:b/>
        </w:rPr>
        <w:lastRenderedPageBreak/>
        <w:t xml:space="preserve">2. Coverage of Circuit Breaker </w:t>
      </w:r>
    </w:p>
    <w:p w:rsidR="000A5255" w:rsidRDefault="000A5255" w:rsidP="000A5255"/>
    <w:p w:rsidR="000A5255" w:rsidRDefault="000A5255" w:rsidP="000A5255">
      <w:r>
        <w:t>2.1. Circuit Breakers will apply to the following instruments:</w:t>
      </w:r>
    </w:p>
    <w:p w:rsidR="000A5255" w:rsidRDefault="000A5255" w:rsidP="000A5255"/>
    <w:p w:rsidR="000A5255" w:rsidRDefault="000A5255" w:rsidP="000A5255">
      <w:r>
        <w:t>(1) Stocks and unit trusts that are components of the Straits Times Index or the MSCI Singapore Free Index;</w:t>
      </w:r>
    </w:p>
    <w:p w:rsidR="000A5255" w:rsidRDefault="000A5255" w:rsidP="000A5255"/>
    <w:p w:rsidR="000A5255" w:rsidRDefault="000A5255" w:rsidP="000A5255">
      <w:r>
        <w:t>(2) Stocks, stapled securities, Real Estate Investment Trusts, business trusts, funds, exchange-traded funds and exchange-traded notes that have a reference price at the start of the Market Day of 0.50 or more in the underlying currency that Market Day. In the case of Yen-denominated instruments, Circuit Breakers are applied if the reference price at the start of the Market Day is ¥500 (denoted as “0.50” in the Trading System) or more that Market Day; and</w:t>
      </w:r>
    </w:p>
    <w:p w:rsidR="000A5255" w:rsidRDefault="000A5255" w:rsidP="000A5255"/>
    <w:p w:rsidR="000A5255" w:rsidRDefault="000A5255" w:rsidP="000A5255">
      <w:r>
        <w:t>(3) Marginable Futures Contracts with underlying instruments falling within (1) or (2) above.</w:t>
      </w:r>
    </w:p>
    <w:p w:rsidR="000A5255" w:rsidRDefault="000A5255" w:rsidP="000A5255">
      <w:r>
        <w:t xml:space="preserve"> </w:t>
      </w:r>
    </w:p>
    <w:p w:rsidR="000A5255" w:rsidRDefault="000A5255" w:rsidP="000A5255">
      <w:r>
        <w:t>2.2. The instruments are assessed against the criteria set out in paragraph 2.1 above on a daily basis to determine if Circuit Breakers will apply that Market Day.</w:t>
      </w:r>
    </w:p>
    <w:p w:rsidR="000A5255" w:rsidRDefault="000A5255" w:rsidP="000A5255">
      <w:r>
        <w:t xml:space="preserve"> </w:t>
      </w:r>
    </w:p>
    <w:p w:rsidR="000A5255" w:rsidRDefault="000A5255" w:rsidP="000A5255">
      <w:r>
        <w:t xml:space="preserve">2.3. As stated in Rule 8.11.1A, SGX-ST may impose a trading halt on a security or Futures Contract when </w:t>
      </w:r>
      <w:proofErr w:type="gramStart"/>
      <w:r>
        <w:t>its</w:t>
      </w:r>
      <w:proofErr w:type="gramEnd"/>
      <w:r>
        <w:t xml:space="preserve"> underlying, or such instrument on the same underlying as SGX-ST may prescribe, is subject to a Cooling-Off Period pursuant to Rule 8.10A.2. This includes structured and company warrants. The duration of such halt will be aligned with the Cooling-Off Period.</w:t>
      </w:r>
    </w:p>
    <w:p w:rsidR="000A5255" w:rsidRDefault="000A5255" w:rsidP="000A5255">
      <w:r>
        <w:t xml:space="preserve"> </w:t>
      </w:r>
    </w:p>
    <w:p w:rsidR="000A5255" w:rsidRPr="000A5255" w:rsidRDefault="000A5255" w:rsidP="000A5255">
      <w:pPr>
        <w:rPr>
          <w:b/>
        </w:rPr>
      </w:pPr>
      <w:r w:rsidRPr="000A5255">
        <w:rPr>
          <w:b/>
        </w:rPr>
        <w:t xml:space="preserve">3. Characteristics of Circuit Breakers and Cooling-Off Periods </w:t>
      </w:r>
    </w:p>
    <w:p w:rsidR="000A5255" w:rsidRDefault="000A5255" w:rsidP="000A5255"/>
    <w:p w:rsidR="000A5255" w:rsidRDefault="000A5255" w:rsidP="000A5255">
      <w:r>
        <w:t>3.1. A Circuit Breaker will have the following features:</w:t>
      </w:r>
    </w:p>
    <w:p w:rsidR="000A5255" w:rsidRDefault="000A5255" w:rsidP="000A5255"/>
    <w:p w:rsidR="000A5255" w:rsidRDefault="000A5255" w:rsidP="000A5255">
      <w:r>
        <w:t>(1) The Circuit Breaker is in operation during the Trading Phase.</w:t>
      </w:r>
    </w:p>
    <w:p w:rsidR="000A5255" w:rsidRDefault="000A5255" w:rsidP="000A5255"/>
    <w:p w:rsidR="000A5255" w:rsidRDefault="000A5255" w:rsidP="000A5255">
      <w:r>
        <w:t>(2) The Circuit Breaker, takes the form of a price band. Trading in a security or Futures Contract must be within or at the upper and lower thresholds of the price band. The price band is based on a prescribed percentage threshold from a reference price. The calculation of the price band is described in paragraph 4 below.</w:t>
      </w:r>
    </w:p>
    <w:p w:rsidR="000A5255" w:rsidRDefault="000A5255" w:rsidP="000A5255"/>
    <w:p w:rsidR="000A5255" w:rsidRDefault="000A5255" w:rsidP="000A5255">
      <w:r>
        <w:t>(3) When an incoming order seeks to match against a resting order at a price outside the upper or lower threshold, a Cooling-Off Period is activated. The incoming order is rejected and will not be matched at a price outside the upper and lower thresholds. An incoming order may have been partially matched against other orders up to the price band, beyond which the outstanding order would be rejected. The trades that were executed at or within the price band will not be affected by activation of the Cooling-Off Period, and only the outstanding volume of the incoming order will be rejected.</w:t>
      </w:r>
    </w:p>
    <w:p w:rsidR="000A5255" w:rsidRDefault="000A5255" w:rsidP="000A5255"/>
    <w:p w:rsidR="000A5255" w:rsidRDefault="000A5255" w:rsidP="000A5255">
      <w:r>
        <w:lastRenderedPageBreak/>
        <w:t>(4) During the Cooling-Off Period, trading in a security or Futures Contract continues at or within the price band that was established when the Cooling-Off Period was activated. If an incoming order seeks to match against a resting order at a price outside the upper or lower threshold, the incoming order will be rejected and will not be matched at a price outside the upper and lower thresholds. This will not extend the cooling-off period.</w:t>
      </w:r>
    </w:p>
    <w:p w:rsidR="000A5255" w:rsidRDefault="000A5255" w:rsidP="000A5255"/>
    <w:p w:rsidR="000A5255" w:rsidRDefault="000A5255" w:rsidP="000A5255">
      <w:r>
        <w:t>(5) After the Cooling-Off Period ceases, the upper and lower thresholds of the Circuit Breaker will be adjusted. The adjustment of the price band is described in paragraph 4. Trading in a security or Futures Contract will continue within and at the new price band.</w:t>
      </w:r>
    </w:p>
    <w:p w:rsidR="000A5255" w:rsidRDefault="000A5255" w:rsidP="000A5255">
      <w:r>
        <w:t xml:space="preserve"> </w:t>
      </w:r>
    </w:p>
    <w:p w:rsidR="000A5255" w:rsidRDefault="000A5255" w:rsidP="000A5255">
      <w:r>
        <w:t xml:space="preserve">3.2. When a Cooling-Off period is activated, the affected instrument(s) will have “CIRB” indicated in the </w:t>
      </w:r>
      <w:proofErr w:type="spellStart"/>
      <w:r>
        <w:t>Rmk</w:t>
      </w:r>
      <w:proofErr w:type="spellEnd"/>
      <w:r>
        <w:t xml:space="preserve"> column on the SGX website for the duration of the cooling-off period. The change in session state will also be broadcast to Trading Members.</w:t>
      </w:r>
    </w:p>
    <w:p w:rsidR="000A5255" w:rsidRDefault="000A5255" w:rsidP="000A5255">
      <w:r>
        <w:t xml:space="preserve"> </w:t>
      </w:r>
    </w:p>
    <w:p w:rsidR="000A5255" w:rsidRDefault="000A5255" w:rsidP="000A5255">
      <w:r>
        <w:t>3.3. The duration of the Cooling-Off Period is five minutes. The Cooling-Off Period will cease upon the commencement of any of the following, even if five minutes has not elapsed:</w:t>
      </w:r>
    </w:p>
    <w:p w:rsidR="000A5255" w:rsidRDefault="000A5255" w:rsidP="000A5255"/>
    <w:p w:rsidR="000A5255" w:rsidRDefault="000A5255" w:rsidP="000A5255">
      <w:r>
        <w:t>(1) Pre-close phase;</w:t>
      </w:r>
    </w:p>
    <w:p w:rsidR="000A5255" w:rsidRDefault="000A5255" w:rsidP="000A5255"/>
    <w:p w:rsidR="000A5255" w:rsidRDefault="000A5255" w:rsidP="000A5255">
      <w:r>
        <w:t>(2) Suspension; and</w:t>
      </w:r>
    </w:p>
    <w:p w:rsidR="000A5255" w:rsidRDefault="000A5255" w:rsidP="000A5255"/>
    <w:p w:rsidR="000A5255" w:rsidRDefault="000A5255" w:rsidP="000A5255">
      <w:r>
        <w:t>(3) Trading Halt.</w:t>
      </w:r>
    </w:p>
    <w:p w:rsidR="000A5255" w:rsidRDefault="000A5255" w:rsidP="000A5255">
      <w:r>
        <w:t xml:space="preserve"> </w:t>
      </w:r>
    </w:p>
    <w:p w:rsidR="000A5255" w:rsidRDefault="000A5255" w:rsidP="000A5255">
      <w:r>
        <w:t>3.4. The Equilibrium Price at the end of the Opening Routine, Closing Routine or Adjust Phase will not activate a Cooling-Off Period (refer to SGX-ST Practice Note 8.2.1 for details on the Opening Routine, Closing Routine and Adjust Phase).</w:t>
      </w:r>
    </w:p>
    <w:p w:rsidR="000A5255" w:rsidRDefault="000A5255" w:rsidP="000A5255">
      <w:r>
        <w:t xml:space="preserve"> </w:t>
      </w:r>
    </w:p>
    <w:p w:rsidR="000A5255" w:rsidRPr="000A5255" w:rsidRDefault="000A5255" w:rsidP="000A5255">
      <w:pPr>
        <w:rPr>
          <w:b/>
        </w:rPr>
      </w:pPr>
      <w:r w:rsidRPr="000A5255">
        <w:rPr>
          <w:b/>
        </w:rPr>
        <w:t xml:space="preserve">4. Calculation of the Circuit Breaker </w:t>
      </w:r>
    </w:p>
    <w:p w:rsidR="000A5255" w:rsidRDefault="000A5255" w:rsidP="000A5255"/>
    <w:p w:rsidR="000A5255" w:rsidRDefault="000A5255" w:rsidP="000A5255">
      <w:r>
        <w:t>4.1. The upper threshold is 10% above the reference price and the lower threshold is 10% below the reference price:</w:t>
      </w:r>
    </w:p>
    <w:p w:rsidR="000A5255" w:rsidRDefault="000A5255" w:rsidP="000A5255">
      <w:r>
        <w:t xml:space="preserve"> </w:t>
      </w:r>
    </w:p>
    <w:p w:rsidR="000A5255" w:rsidRDefault="000A5255" w:rsidP="000A5255">
      <w:r>
        <w:t>4.2. The reference price for the start of the Market Day is as follows:</w:t>
      </w:r>
    </w:p>
    <w:p w:rsidR="000A5255" w:rsidRDefault="000A5255" w:rsidP="000A5255"/>
    <w:p w:rsidR="000A5255" w:rsidRDefault="000A5255" w:rsidP="000A5255">
      <w:r>
        <w:t xml:space="preserve">(1) </w:t>
      </w:r>
      <w:proofErr w:type="gramStart"/>
      <w:r>
        <w:t>the</w:t>
      </w:r>
      <w:proofErr w:type="gramEnd"/>
      <w:r>
        <w:t xml:space="preserve"> opening price of the security, failing which</w:t>
      </w:r>
    </w:p>
    <w:p w:rsidR="000A5255" w:rsidRDefault="000A5255" w:rsidP="000A5255"/>
    <w:p w:rsidR="000A5255" w:rsidRDefault="000A5255" w:rsidP="000A5255">
      <w:r>
        <w:t xml:space="preserve">(2) </w:t>
      </w:r>
      <w:r w:rsidR="000448CF" w:rsidRPr="000448CF">
        <w:rPr>
          <w:color w:val="0000FF"/>
          <w:u w:val="single"/>
        </w:rPr>
        <w:t>either (a)</w:t>
      </w:r>
      <w:r w:rsidR="000448CF" w:rsidRPr="000448CF">
        <w:rPr>
          <w:color w:val="0000FF"/>
        </w:rPr>
        <w:t xml:space="preserve"> </w:t>
      </w:r>
      <w:r>
        <w:t>the previous Market Day's last traded price, or in the case of a Prescribed Security, the closing price of the Prescribed Secur</w:t>
      </w:r>
      <w:r w:rsidR="000448CF">
        <w:t>ity on the previous Market Day,</w:t>
      </w:r>
      <w:r w:rsidR="000448CF" w:rsidRPr="000448CF">
        <w:rPr>
          <w:color w:val="0000FF"/>
          <w:u w:val="single"/>
        </w:rPr>
        <w:t xml:space="preserve"> or (b) where a share consolidation or share split has occurred, a price derived from</w:t>
      </w:r>
      <w:r w:rsidR="000448CF">
        <w:rPr>
          <w:color w:val="0000FF"/>
          <w:u w:val="single"/>
        </w:rPr>
        <w:t xml:space="preserve"> a pricing model</w:t>
      </w:r>
      <w:r w:rsidR="000448CF" w:rsidRPr="000448CF">
        <w:rPr>
          <w:color w:val="0000FF"/>
          <w:u w:val="single"/>
        </w:rPr>
        <w:t xml:space="preserve"> established by SGX-</w:t>
      </w:r>
      <w:r w:rsidR="000448CF" w:rsidRPr="00B77053">
        <w:rPr>
          <w:color w:val="0000FF"/>
          <w:u w:val="single"/>
        </w:rPr>
        <w:t>ST</w:t>
      </w:r>
      <w:r w:rsidR="00D41103" w:rsidRPr="00B77053">
        <w:rPr>
          <w:color w:val="0000FF"/>
          <w:u w:val="single"/>
        </w:rPr>
        <w:t xml:space="preserve"> (for example, the last traded price </w:t>
      </w:r>
      <w:r w:rsidR="00B77053" w:rsidRPr="00B77053">
        <w:rPr>
          <w:color w:val="0000FF"/>
          <w:u w:val="single"/>
        </w:rPr>
        <w:t xml:space="preserve">prior to the effective date of the consolidation, </w:t>
      </w:r>
      <w:r w:rsidR="00D41103" w:rsidRPr="00B77053">
        <w:rPr>
          <w:color w:val="0000FF"/>
          <w:u w:val="single"/>
        </w:rPr>
        <w:t>adjusted for the consolidation ratio)</w:t>
      </w:r>
      <w:r w:rsidR="000448CF" w:rsidRPr="00B77053">
        <w:t>,</w:t>
      </w:r>
      <w:r w:rsidR="000448CF" w:rsidRPr="000448CF">
        <w:t xml:space="preserve"> </w:t>
      </w:r>
      <w:r>
        <w:t>failing which</w:t>
      </w:r>
    </w:p>
    <w:p w:rsidR="000A5255" w:rsidRDefault="000A5255" w:rsidP="000A5255"/>
    <w:p w:rsidR="000A5255" w:rsidRDefault="000A5255" w:rsidP="000A5255">
      <w:r>
        <w:lastRenderedPageBreak/>
        <w:t xml:space="preserve">(3) </w:t>
      </w:r>
      <w:proofErr w:type="gramStart"/>
      <w:r>
        <w:t>the</w:t>
      </w:r>
      <w:proofErr w:type="gramEnd"/>
      <w:r>
        <w:t xml:space="preserve"> last available traded price.</w:t>
      </w:r>
    </w:p>
    <w:p w:rsidR="000A5255" w:rsidRDefault="000A5255" w:rsidP="000A5255">
      <w:r>
        <w:t xml:space="preserve"> </w:t>
      </w:r>
    </w:p>
    <w:p w:rsidR="000A5255" w:rsidRDefault="000A5255" w:rsidP="000A5255">
      <w:r>
        <w:t>4.3. The reference price at the start of the Market Day is applicable to the first five minutes of the Trading Phase of each Market Day. The reference price for the rest of the Market Day is as follows:</w:t>
      </w:r>
    </w:p>
    <w:p w:rsidR="000A5255" w:rsidRDefault="000A5255" w:rsidP="000A5255"/>
    <w:p w:rsidR="000A5255" w:rsidRDefault="000A5255" w:rsidP="000A5255">
      <w:r>
        <w:t xml:space="preserve">(1) </w:t>
      </w:r>
      <w:proofErr w:type="gramStart"/>
      <w:r>
        <w:t>the</w:t>
      </w:r>
      <w:proofErr w:type="gramEnd"/>
      <w:r>
        <w:t xml:space="preserve"> last traded price as of five minutes prior to each potential trade, failing which</w:t>
      </w:r>
    </w:p>
    <w:p w:rsidR="000A5255" w:rsidRDefault="000A5255" w:rsidP="000A5255"/>
    <w:p w:rsidR="000A5255" w:rsidRDefault="000A5255" w:rsidP="000A5255">
      <w:r>
        <w:t xml:space="preserve">(2) </w:t>
      </w:r>
      <w:proofErr w:type="gramStart"/>
      <w:r>
        <w:t>the</w:t>
      </w:r>
      <w:proofErr w:type="gramEnd"/>
      <w:r>
        <w:t xml:space="preserve"> reference price at the start of the Market Day.</w:t>
      </w:r>
    </w:p>
    <w:p w:rsidR="000A5255" w:rsidRDefault="000A5255" w:rsidP="000A5255">
      <w:r>
        <w:t xml:space="preserve"> </w:t>
      </w:r>
    </w:p>
    <w:p w:rsidR="000A5255" w:rsidRDefault="000A5255" w:rsidP="000A5255">
      <w:r>
        <w:t>4.4. If there are trades done during the Cooling-Off Period, the reference price following the Cooling-Off Period will be as described in paragraph 4.3 above. If there are no trades done during the Cooling-Off Period, the first trade after the Cooling-Off Period will not be subject to the Circuit Breaker. The price of the first trade will then serve as the reference price for the five minutes following the trade. Thereafter, the reference price will be as described in paragraph 4.3 above.</w:t>
      </w:r>
    </w:p>
    <w:p w:rsidR="000A5255" w:rsidRDefault="000A5255" w:rsidP="000A5255">
      <w:r>
        <w:t xml:space="preserve"> </w:t>
      </w:r>
    </w:p>
    <w:p w:rsidR="000A5255" w:rsidRDefault="000A5255" w:rsidP="000A5255">
      <w:r>
        <w:t>4.5. In the event that an instrument is suspended or halted, the reference price immediately upon the lifting of a halt/suspension for a security will be as follows:</w:t>
      </w:r>
    </w:p>
    <w:p w:rsidR="000A5255" w:rsidRDefault="000A5255" w:rsidP="000A5255"/>
    <w:p w:rsidR="000A5255" w:rsidRDefault="000A5255" w:rsidP="000A5255">
      <w:r>
        <w:t xml:space="preserve">(1) </w:t>
      </w:r>
      <w:proofErr w:type="gramStart"/>
      <w:r>
        <w:t>the</w:t>
      </w:r>
      <w:proofErr w:type="gramEnd"/>
      <w:r>
        <w:t xml:space="preserve"> Equilibrium Price, failing which</w:t>
      </w:r>
    </w:p>
    <w:p w:rsidR="000A5255" w:rsidRDefault="000A5255" w:rsidP="000A5255"/>
    <w:p w:rsidR="000A5255" w:rsidRDefault="000A5255" w:rsidP="000A5255">
      <w:r>
        <w:t xml:space="preserve">(2) </w:t>
      </w:r>
      <w:proofErr w:type="gramStart"/>
      <w:r>
        <w:t>the</w:t>
      </w:r>
      <w:proofErr w:type="gramEnd"/>
      <w:r>
        <w:t xml:space="preserve"> last traded price in the Trading phase preceding the halt/suspension, failing which</w:t>
      </w:r>
    </w:p>
    <w:p w:rsidR="000A5255" w:rsidRDefault="000A5255" w:rsidP="000A5255"/>
    <w:p w:rsidR="000A5255" w:rsidRDefault="000A5255" w:rsidP="000A5255">
      <w:r>
        <w:t xml:space="preserve">(3) </w:t>
      </w:r>
      <w:proofErr w:type="gramStart"/>
      <w:r>
        <w:t>the</w:t>
      </w:r>
      <w:proofErr w:type="gramEnd"/>
      <w:r>
        <w:t xml:space="preserve"> reference price at the start of the Market Day.</w:t>
      </w:r>
    </w:p>
    <w:p w:rsidR="000A5255" w:rsidRDefault="000A5255" w:rsidP="000A5255">
      <w:r>
        <w:t xml:space="preserve"> </w:t>
      </w:r>
    </w:p>
    <w:p w:rsidR="000A5255" w:rsidRDefault="000A5255" w:rsidP="000A5255">
      <w:r>
        <w:t>4.6. The reference price of a Marginable Futures Contract is the reference price of its underlying instrument at all times.</w:t>
      </w:r>
    </w:p>
    <w:p w:rsidR="000A5255" w:rsidRDefault="000A5255" w:rsidP="000A5255">
      <w:r>
        <w:t xml:space="preserve"> </w:t>
      </w:r>
    </w:p>
    <w:p w:rsidR="000A5255" w:rsidRPr="000A5255" w:rsidRDefault="000A5255" w:rsidP="000A5255">
      <w:pPr>
        <w:rPr>
          <w:b/>
        </w:rPr>
      </w:pPr>
      <w:r w:rsidRPr="000A5255">
        <w:rPr>
          <w:b/>
        </w:rPr>
        <w:t xml:space="preserve">5. Illustration of Circuit Breaker operation </w:t>
      </w:r>
    </w:p>
    <w:p w:rsidR="000A5255" w:rsidRDefault="000A5255" w:rsidP="000A5255"/>
    <w:p w:rsidR="000A5255" w:rsidRPr="000A5255" w:rsidRDefault="000A5255" w:rsidP="000A5255">
      <w:pPr>
        <w:rPr>
          <w:i/>
        </w:rPr>
      </w:pPr>
      <w:r w:rsidRPr="000A5255">
        <w:rPr>
          <w:i/>
        </w:rPr>
        <w:t xml:space="preserve">Scenario 1 </w:t>
      </w:r>
    </w:p>
    <w:p w:rsidR="000A5255" w:rsidRDefault="000A5255" w:rsidP="000A5255"/>
    <w:p w:rsidR="000A5255" w:rsidRDefault="000A5255" w:rsidP="000A5255">
      <w:r>
        <w:t>5.1. Security A has an opening price of $1.00. The Circuit Breaker will apply to Security A on that Market Day.</w:t>
      </w:r>
    </w:p>
    <w:p w:rsidR="000A5255" w:rsidRDefault="000A5255" w:rsidP="000A5255">
      <w:r>
        <w:t xml:space="preserve"> </w:t>
      </w:r>
    </w:p>
    <w:p w:rsidR="000A5255" w:rsidRDefault="000A5255" w:rsidP="000A5255">
      <w:r>
        <w:t xml:space="preserve">5.2. No trades are executed after the market opens. </w:t>
      </w:r>
    </w:p>
    <w:p w:rsidR="000A5255" w:rsidRDefault="000A5255" w:rsidP="000A5255"/>
    <w:p w:rsidR="000A5255" w:rsidRDefault="000A5255" w:rsidP="000A5255">
      <w:r>
        <w:t>5.3. At 11:00:00a.m, an incoming buy order for one lot of Security A at $1.20 attempts to match against a resting sell order for five lots of Security A at $1.20.</w:t>
      </w:r>
    </w:p>
    <w:p w:rsidR="000A5255" w:rsidRDefault="000A5255" w:rsidP="000A5255">
      <w:r>
        <w:t xml:space="preserve"> </w:t>
      </w:r>
    </w:p>
    <w:p w:rsidR="000A5255" w:rsidRDefault="000A5255" w:rsidP="000A5255">
      <w:r>
        <w:t>5.4. The reference price of Security A at 11:00:00a.m is $1.00 because there have been no trades in the Trading phase, and the opening price is $1.00. Therefore, the upper limit of Security A's Circuit Breaker at 11:00:00a.m is:</w:t>
      </w:r>
    </w:p>
    <w:p w:rsidR="000A5255" w:rsidRDefault="000A5255" w:rsidP="000A5255"/>
    <w:p w:rsidR="000A5255" w:rsidRDefault="000A5255" w:rsidP="000A5255">
      <w:r>
        <w:t>$1.00 + (10% x $1.00) = $1.10:</w:t>
      </w:r>
    </w:p>
    <w:p w:rsidR="000A5255" w:rsidRDefault="000A5255" w:rsidP="000A5255"/>
    <w:p w:rsidR="000A5255" w:rsidRDefault="000A5255" w:rsidP="000A5255">
      <w:r>
        <w:t xml:space="preserve"> The lower limit is:</w:t>
      </w:r>
    </w:p>
    <w:p w:rsidR="000A5255" w:rsidRDefault="000A5255" w:rsidP="000A5255">
      <w:r>
        <w:t xml:space="preserve"> $1.00 − (10% x $1.00) = $0.90.</w:t>
      </w:r>
    </w:p>
    <w:p w:rsidR="000A5255" w:rsidRDefault="000A5255" w:rsidP="000A5255">
      <w:r>
        <w:t xml:space="preserve"> </w:t>
      </w:r>
    </w:p>
    <w:p w:rsidR="000A5255" w:rsidRDefault="000A5255" w:rsidP="000A5255">
      <w:r>
        <w:t>5.5. As the incoming buy order, if matched, would result in a trade outside the upper limit of the Circuit Breaker, it is rejected, and the Cooling-Off Period begins. The Cooling-Off Period is in place from 11:00:00a.m to 11:05:00a.m, during which trading can occur within the price band i.e. at or between $0.90 and $1.10: If a buy order for one lot of Security A at $1.20 is re-entered at this time, it is rejected.</w:t>
      </w:r>
    </w:p>
    <w:p w:rsidR="000A5255" w:rsidRDefault="000A5255" w:rsidP="000A5255">
      <w:r>
        <w:t xml:space="preserve"> </w:t>
      </w:r>
    </w:p>
    <w:p w:rsidR="000A5255" w:rsidRDefault="000A5255" w:rsidP="000A5255">
      <w:r>
        <w:t>5.6. No trades occur during the Cooling-Off Period. The first trade after the Cooling-Off Period will not be subject to the Circuit Breaker. If the incoming buy order for one lot of Security A at $1.20 is re-entered at this time (and the resting sell order for five lots at $1.20 is still in the order book), it will result in a traded price of $1.20. $1.20 will then be the new reference price for at least the next five minutes of trading.</w:t>
      </w:r>
    </w:p>
    <w:p w:rsidR="000A5255" w:rsidRDefault="000A5255" w:rsidP="000A5255">
      <w:r>
        <w:t xml:space="preserve"> </w:t>
      </w:r>
    </w:p>
    <w:p w:rsidR="000A5255" w:rsidRPr="000A5255" w:rsidRDefault="000A5255" w:rsidP="000A5255">
      <w:pPr>
        <w:rPr>
          <w:i/>
        </w:rPr>
      </w:pPr>
      <w:r w:rsidRPr="000A5255">
        <w:rPr>
          <w:i/>
        </w:rPr>
        <w:t xml:space="preserve">Scenario 2 </w:t>
      </w:r>
    </w:p>
    <w:p w:rsidR="000A5255" w:rsidRDefault="000A5255" w:rsidP="000A5255"/>
    <w:p w:rsidR="000A5255" w:rsidRDefault="000A5255" w:rsidP="000A5255">
      <w:r>
        <w:t>5.7. Security B has an opening price of $1.00. The Circuit Breaker will apply to Security B on that Market Day. At 10:00:00a.m, the last traded price as of five minutes ago (i.e. at 9:55:00a.m) is $0.90. This is therefore the reference price at 10:00:00a.m.</w:t>
      </w:r>
    </w:p>
    <w:p w:rsidR="000A5255" w:rsidRDefault="000A5255" w:rsidP="000A5255">
      <w:r>
        <w:t xml:space="preserve"> </w:t>
      </w:r>
    </w:p>
    <w:p w:rsidR="000A5255" w:rsidRDefault="000A5255" w:rsidP="000A5255">
      <w:r>
        <w:t>5.8. At 10:00:00a.m, two incoming sell orders are simultaneously placed for Security B at $0.82 (five lots) and $0.80 (five lots). The resting buy orders in terms of price priority are a resting buy order for five lots of Security B at $0.82, and another resting buy order for three lots of Security B at $0.80.</w:t>
      </w:r>
    </w:p>
    <w:p w:rsidR="000A5255" w:rsidRDefault="000A5255" w:rsidP="000A5255"/>
    <w:p w:rsidR="000A5255" w:rsidRDefault="000A5255" w:rsidP="000A5255">
      <w:r>
        <w:t>As the reference price of Security B at 10:00:00a.m is $0.90, the lower limit of Security B's price band is:</w:t>
      </w:r>
    </w:p>
    <w:p w:rsidR="000A5255" w:rsidRDefault="000A5255" w:rsidP="000A5255"/>
    <w:p w:rsidR="000A5255" w:rsidRDefault="000A5255" w:rsidP="000A5255">
      <w:r>
        <w:t>$0.90 − (10% of $0.90) = $0.81.</w:t>
      </w:r>
    </w:p>
    <w:p w:rsidR="000A5255" w:rsidRDefault="000A5255" w:rsidP="000A5255"/>
    <w:p w:rsidR="000A5255" w:rsidRDefault="000A5255" w:rsidP="000A5255">
      <w:r>
        <w:t>The upper limit is:</w:t>
      </w:r>
    </w:p>
    <w:p w:rsidR="000A5255" w:rsidRDefault="000A5255" w:rsidP="000A5255"/>
    <w:p w:rsidR="000A5255" w:rsidRDefault="000A5255" w:rsidP="000A5255">
      <w:r>
        <w:t>$0.90 + (10% of $0.90) = $0.99.</w:t>
      </w:r>
    </w:p>
    <w:p w:rsidR="000A5255" w:rsidRDefault="000A5255" w:rsidP="000A5255">
      <w:r>
        <w:t xml:space="preserve"> </w:t>
      </w:r>
    </w:p>
    <w:p w:rsidR="000A5255" w:rsidRDefault="000A5255" w:rsidP="000A5255">
      <w:r>
        <w:t>5.9. The incoming sell order will be matched at $0.82 (five lots) against the resting buy order for five lots at $0.82. The remaining sell order of $0.80 (five lots) will then attempt to match against the resting buy order for three lots of Security B at $0.80.</w:t>
      </w:r>
    </w:p>
    <w:p w:rsidR="000A5255" w:rsidRDefault="000A5255" w:rsidP="000A5255">
      <w:r>
        <w:t xml:space="preserve"> </w:t>
      </w:r>
    </w:p>
    <w:p w:rsidR="000A5255" w:rsidRDefault="000A5255" w:rsidP="000A5255">
      <w:r>
        <w:t xml:space="preserve">5.10. As the incoming sell order for $0.80, if matched, will result in a trade outside the lower limit of the price band, the order is rejected, and the Cooling-Off Period begins. The Cooling-Off Period is in place </w:t>
      </w:r>
      <w:r>
        <w:lastRenderedPageBreak/>
        <w:t>from 10:00:00a.m to 10:05:00a.m, during which trading can occur within the price band i.e. at or between $0.81 and $0.99.</w:t>
      </w:r>
    </w:p>
    <w:p w:rsidR="000A5255" w:rsidRDefault="000A5255" w:rsidP="000A5255">
      <w:r>
        <w:t xml:space="preserve"> </w:t>
      </w:r>
    </w:p>
    <w:p w:rsidR="000A5255" w:rsidRDefault="000A5255" w:rsidP="000A5255">
      <w:r>
        <w:t xml:space="preserve">5.11. A buy market order comes in at 10:01.00a.m for five lots at $0.83, and a sell order for five lots at $0.83 </w:t>
      </w:r>
      <w:proofErr w:type="gramStart"/>
      <w:r>
        <w:t>is</w:t>
      </w:r>
      <w:proofErr w:type="gramEnd"/>
      <w:r>
        <w:t xml:space="preserve"> entered at 10:02:00a.m. This results in a matched trade for five lots of Security B at 10:02:00a.m.</w:t>
      </w:r>
    </w:p>
    <w:p w:rsidR="000A5255" w:rsidRDefault="000A5255" w:rsidP="000A5255">
      <w:r>
        <w:t xml:space="preserve"> </w:t>
      </w:r>
    </w:p>
    <w:p w:rsidR="000A5255" w:rsidRDefault="000A5255" w:rsidP="000A5255">
      <w:r>
        <w:t>5.12. The reference price immediately after the Cooling-Off Period ends at 10:05:00a.m is $0.82, reflecting the traded price five minutes ago just prior to the start of the Cooling-Off Period. At 10:07:00a.m, the reference price becomes $0.83, reflecting the traded price five minutes ago at 10:02:00a.m.</w:t>
      </w:r>
    </w:p>
    <w:p w:rsidR="000A5255" w:rsidRDefault="000A5255" w:rsidP="000A5255">
      <w:r>
        <w:t xml:space="preserve"> </w:t>
      </w:r>
    </w:p>
    <w:p w:rsidR="000A5255" w:rsidRPr="000A5255" w:rsidRDefault="000A5255" w:rsidP="000A5255">
      <w:pPr>
        <w:rPr>
          <w:b/>
        </w:rPr>
      </w:pPr>
      <w:r w:rsidRPr="000A5255">
        <w:rPr>
          <w:b/>
        </w:rPr>
        <w:t xml:space="preserve">6. Exemption of New Listings from circuit breaker </w:t>
      </w:r>
    </w:p>
    <w:p w:rsidR="000A5255" w:rsidRDefault="000A5255" w:rsidP="000A5255"/>
    <w:p w:rsidR="000A5255" w:rsidRDefault="000A5255" w:rsidP="000A5255">
      <w:r>
        <w:t>6.1. SGX-ST will exempt New Listings from the circuit breaker on the first day of trading. This is because the offer price of a New Listing may potentially differ significantly from market valuation. Applying the circuit breaker on the first day of trading may unnecessarily impede the price discovery process.</w:t>
      </w:r>
    </w:p>
    <w:p w:rsidR="000A5255" w:rsidRDefault="000A5255" w:rsidP="000A5255">
      <w:r>
        <w:t xml:space="preserve"> </w:t>
      </w:r>
    </w:p>
    <w:p w:rsidR="000A5255" w:rsidRDefault="000A5255" w:rsidP="000A5255">
      <w:r>
        <w:t xml:space="preserve">6.2. New Listings refer to the following </w:t>
      </w:r>
      <w:proofErr w:type="gramStart"/>
      <w:r>
        <w:t>instruments that are newly listed, regardless of whether they are subject to an initial public offering or is</w:t>
      </w:r>
      <w:proofErr w:type="gramEnd"/>
      <w:r>
        <w:t xml:space="preserve"> placed out:</w:t>
      </w:r>
    </w:p>
    <w:p w:rsidR="000A5255" w:rsidRDefault="000A5255" w:rsidP="000A5255"/>
    <w:p w:rsidR="000A5255" w:rsidRDefault="000A5255" w:rsidP="000A5255">
      <w:r>
        <w:t>(1) Stocks;</w:t>
      </w:r>
    </w:p>
    <w:p w:rsidR="000A5255" w:rsidRDefault="000A5255" w:rsidP="000A5255"/>
    <w:p w:rsidR="000A5255" w:rsidRDefault="000A5255" w:rsidP="000A5255">
      <w:r>
        <w:t>(2) Stapled securities;</w:t>
      </w:r>
    </w:p>
    <w:p w:rsidR="000A5255" w:rsidRDefault="000A5255" w:rsidP="000A5255"/>
    <w:p w:rsidR="000A5255" w:rsidRDefault="000A5255" w:rsidP="000A5255">
      <w:r>
        <w:t>(3) Real Estate Investment Trusts:</w:t>
      </w:r>
    </w:p>
    <w:p w:rsidR="000A5255" w:rsidRDefault="000A5255" w:rsidP="000A5255"/>
    <w:p w:rsidR="000A5255" w:rsidRDefault="000A5255" w:rsidP="000A5255">
      <w:r>
        <w:t>(4) Business trusts;</w:t>
      </w:r>
    </w:p>
    <w:p w:rsidR="000A5255" w:rsidRDefault="000A5255" w:rsidP="000A5255"/>
    <w:p w:rsidR="000A5255" w:rsidRDefault="000A5255" w:rsidP="000A5255">
      <w:r>
        <w:t>(5) Funds;</w:t>
      </w:r>
    </w:p>
    <w:p w:rsidR="000A5255" w:rsidRDefault="000A5255" w:rsidP="000A5255"/>
    <w:p w:rsidR="000A5255" w:rsidRDefault="000A5255" w:rsidP="000A5255">
      <w:r>
        <w:t>(6) Exchange-traded funds; and</w:t>
      </w:r>
    </w:p>
    <w:p w:rsidR="000A5255" w:rsidRDefault="000A5255" w:rsidP="000A5255"/>
    <w:p w:rsidR="000A5255" w:rsidRDefault="000A5255" w:rsidP="000A5255">
      <w:r>
        <w:t>(7) Exchange-traded notes.</w:t>
      </w:r>
    </w:p>
    <w:p w:rsidR="000A5255" w:rsidRDefault="000A5255" w:rsidP="000A5255">
      <w:r>
        <w:t xml:space="preserve"> </w:t>
      </w:r>
    </w:p>
    <w:p w:rsidR="000A5255" w:rsidRDefault="000A5255" w:rsidP="000A5255">
      <w:r>
        <w:t>6.3. New Listings will include stocks of companies that have been previously delisted but have gone through the listing process again.</w:t>
      </w:r>
    </w:p>
    <w:p w:rsidR="000A5255" w:rsidRDefault="000A5255" w:rsidP="000A5255">
      <w:r>
        <w:t xml:space="preserve"> </w:t>
      </w:r>
    </w:p>
    <w:p w:rsidR="000A5255" w:rsidRDefault="000A5255" w:rsidP="000A5255">
      <w:r>
        <w:t>6.4. New Listings will also include stocks/units that are created by distribution of dividends in-specie.</w:t>
      </w:r>
    </w:p>
    <w:p w:rsidR="000A5255" w:rsidRDefault="000A5255" w:rsidP="000A5255">
      <w:r>
        <w:t xml:space="preserve"> </w:t>
      </w:r>
    </w:p>
    <w:p w:rsidR="000A5255" w:rsidRPr="000A5255" w:rsidRDefault="000A5255" w:rsidP="000A5255">
      <w:r>
        <w:t xml:space="preserve">6.5. New Listings will not include any instruments that are created as a result of stock consolidation, stock splits and other similar actions which result in the replacement of existing counters. This is </w:t>
      </w:r>
      <w:r>
        <w:lastRenderedPageBreak/>
        <w:t>because the last traded price of the existing counters prior to delisting act as indicators which will allow market participants to adequately approximate the price of these new instruments. New Listings will therefore also not include temporary odd-lot instruments that are created as a result of corporate actions or rights issues, and will also exclude schemes of arrangement.</w:t>
      </w:r>
    </w:p>
    <w:sectPr w:rsidR="000A5255" w:rsidRPr="000A5255" w:rsidSect="001C01D9">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ED7" w:rsidRDefault="00680ED7" w:rsidP="000A5255">
      <w:pPr>
        <w:spacing w:line="240" w:lineRule="auto"/>
      </w:pPr>
      <w:r>
        <w:separator/>
      </w:r>
    </w:p>
  </w:endnote>
  <w:endnote w:type="continuationSeparator" w:id="0">
    <w:p w:rsidR="00680ED7" w:rsidRDefault="00680ED7" w:rsidP="000A525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0454" w:rsidRPr="009F0454" w:rsidRDefault="009F0454" w:rsidP="009F0454">
    <w:pPr>
      <w:pStyle w:val="Footer"/>
      <w:jc w:val="right"/>
      <w:rPr>
        <w:sz w:val="20"/>
      </w:rPr>
    </w:pPr>
    <w:r w:rsidRPr="009F0454">
      <w:rPr>
        <w:sz w:val="20"/>
      </w:rPr>
      <w:t xml:space="preserve">Page </w:t>
    </w:r>
    <w:r w:rsidR="004A767F" w:rsidRPr="009F0454">
      <w:rPr>
        <w:sz w:val="20"/>
      </w:rPr>
      <w:fldChar w:fldCharType="begin"/>
    </w:r>
    <w:r w:rsidRPr="009F0454">
      <w:rPr>
        <w:sz w:val="20"/>
      </w:rPr>
      <w:instrText xml:space="preserve"> PAGE  \* Arabic  \* MERGEFORMAT </w:instrText>
    </w:r>
    <w:r w:rsidR="004A767F" w:rsidRPr="009F0454">
      <w:rPr>
        <w:sz w:val="20"/>
      </w:rPr>
      <w:fldChar w:fldCharType="separate"/>
    </w:r>
    <w:r w:rsidR="00315B46">
      <w:rPr>
        <w:noProof/>
        <w:sz w:val="20"/>
      </w:rPr>
      <w:t>1</w:t>
    </w:r>
    <w:r w:rsidR="004A767F" w:rsidRPr="009F0454">
      <w:rPr>
        <w:sz w:val="20"/>
      </w:rPr>
      <w:fldChar w:fldCharType="end"/>
    </w:r>
    <w:r w:rsidRPr="009F0454">
      <w:rPr>
        <w:sz w:val="20"/>
      </w:rPr>
      <w:t xml:space="preserve"> of </w:t>
    </w:r>
    <w:fldSimple w:instr=" NUMPAGES  \* Arabic  \* MERGEFORMAT ">
      <w:r w:rsidR="00315B46">
        <w:rPr>
          <w:noProof/>
          <w:sz w:val="20"/>
        </w:rPr>
        <w:t>9</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ED7" w:rsidRDefault="00680ED7" w:rsidP="000A5255">
      <w:pPr>
        <w:spacing w:line="240" w:lineRule="auto"/>
      </w:pPr>
      <w:r>
        <w:separator/>
      </w:r>
    </w:p>
  </w:footnote>
  <w:footnote w:type="continuationSeparator" w:id="0">
    <w:p w:rsidR="00680ED7" w:rsidRDefault="00680ED7" w:rsidP="000A5255">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913C9"/>
    <w:multiLevelType w:val="hybridMultilevel"/>
    <w:tmpl w:val="1456A9AE"/>
    <w:lvl w:ilvl="0" w:tplc="DAB04950">
      <w:start w:val="1"/>
      <w:numFmt w:val="bullet"/>
      <w:lvlText w:val=""/>
      <w:lvlJc w:val="left"/>
      <w:pPr>
        <w:ind w:left="288" w:hanging="288"/>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1C01D9"/>
    <w:rsid w:val="000448CF"/>
    <w:rsid w:val="000A5255"/>
    <w:rsid w:val="000A5B2A"/>
    <w:rsid w:val="001C01D9"/>
    <w:rsid w:val="00315B46"/>
    <w:rsid w:val="004A767F"/>
    <w:rsid w:val="005F0DA2"/>
    <w:rsid w:val="005F3EF8"/>
    <w:rsid w:val="00680ED7"/>
    <w:rsid w:val="00935F89"/>
    <w:rsid w:val="009F0454"/>
    <w:rsid w:val="00A369DB"/>
    <w:rsid w:val="00B77053"/>
    <w:rsid w:val="00D41103"/>
    <w:rsid w:val="00E55BBF"/>
    <w:rsid w:val="00F3064E"/>
    <w:rsid w:val="00FA26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Arial"/>
        <w:sz w:val="22"/>
        <w:lang w:val="en-U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6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C01D9"/>
    <w:rPr>
      <w:color w:val="233288"/>
      <w:u w:val="single"/>
    </w:rPr>
  </w:style>
  <w:style w:type="character" w:customStyle="1" w:styleId="me">
    <w:name w:val="me"/>
    <w:basedOn w:val="DefaultParagraphFont"/>
    <w:rsid w:val="001C01D9"/>
  </w:style>
  <w:style w:type="paragraph" w:styleId="Header">
    <w:name w:val="header"/>
    <w:basedOn w:val="Normal"/>
    <w:link w:val="HeaderChar"/>
    <w:uiPriority w:val="99"/>
    <w:unhideWhenUsed/>
    <w:rsid w:val="000A5255"/>
    <w:pPr>
      <w:tabs>
        <w:tab w:val="center" w:pos="4680"/>
        <w:tab w:val="right" w:pos="9360"/>
      </w:tabs>
      <w:spacing w:line="240" w:lineRule="auto"/>
    </w:pPr>
  </w:style>
  <w:style w:type="character" w:customStyle="1" w:styleId="HeaderChar">
    <w:name w:val="Header Char"/>
    <w:basedOn w:val="DefaultParagraphFont"/>
    <w:link w:val="Header"/>
    <w:uiPriority w:val="99"/>
    <w:rsid w:val="000A5255"/>
  </w:style>
  <w:style w:type="paragraph" w:styleId="Footer">
    <w:name w:val="footer"/>
    <w:basedOn w:val="Normal"/>
    <w:link w:val="FooterChar"/>
    <w:uiPriority w:val="99"/>
    <w:unhideWhenUsed/>
    <w:rsid w:val="000A5255"/>
    <w:pPr>
      <w:tabs>
        <w:tab w:val="center" w:pos="4680"/>
        <w:tab w:val="right" w:pos="9360"/>
      </w:tabs>
      <w:spacing w:line="240" w:lineRule="auto"/>
    </w:pPr>
  </w:style>
  <w:style w:type="character" w:customStyle="1" w:styleId="FooterChar">
    <w:name w:val="Footer Char"/>
    <w:basedOn w:val="DefaultParagraphFont"/>
    <w:link w:val="Footer"/>
    <w:uiPriority w:val="99"/>
    <w:rsid w:val="000A5255"/>
  </w:style>
  <w:style w:type="table" w:styleId="TableGrid">
    <w:name w:val="Table Grid"/>
    <w:basedOn w:val="TableNormal"/>
    <w:uiPriority w:val="59"/>
    <w:rsid w:val="000A5255"/>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448C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Arial"/>
        <w:sz w:val="22"/>
        <w:lang w:val="en-U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C01D9"/>
    <w:rPr>
      <w:color w:val="233288"/>
      <w:u w:val="single"/>
    </w:rPr>
  </w:style>
  <w:style w:type="character" w:customStyle="1" w:styleId="me">
    <w:name w:val="me"/>
    <w:basedOn w:val="DefaultParagraphFont"/>
    <w:rsid w:val="001C01D9"/>
  </w:style>
  <w:style w:type="paragraph" w:styleId="Header">
    <w:name w:val="header"/>
    <w:basedOn w:val="Normal"/>
    <w:link w:val="HeaderChar"/>
    <w:uiPriority w:val="99"/>
    <w:unhideWhenUsed/>
    <w:rsid w:val="000A5255"/>
    <w:pPr>
      <w:tabs>
        <w:tab w:val="center" w:pos="4680"/>
        <w:tab w:val="right" w:pos="9360"/>
      </w:tabs>
      <w:spacing w:line="240" w:lineRule="auto"/>
    </w:pPr>
  </w:style>
  <w:style w:type="character" w:customStyle="1" w:styleId="HeaderChar">
    <w:name w:val="Header Char"/>
    <w:basedOn w:val="DefaultParagraphFont"/>
    <w:link w:val="Header"/>
    <w:uiPriority w:val="99"/>
    <w:rsid w:val="000A5255"/>
  </w:style>
  <w:style w:type="paragraph" w:styleId="Footer">
    <w:name w:val="footer"/>
    <w:basedOn w:val="Normal"/>
    <w:link w:val="FooterChar"/>
    <w:uiPriority w:val="99"/>
    <w:unhideWhenUsed/>
    <w:rsid w:val="000A5255"/>
    <w:pPr>
      <w:tabs>
        <w:tab w:val="center" w:pos="4680"/>
        <w:tab w:val="right" w:pos="9360"/>
      </w:tabs>
      <w:spacing w:line="240" w:lineRule="auto"/>
    </w:pPr>
  </w:style>
  <w:style w:type="character" w:customStyle="1" w:styleId="FooterChar">
    <w:name w:val="Footer Char"/>
    <w:basedOn w:val="DefaultParagraphFont"/>
    <w:link w:val="Footer"/>
    <w:uiPriority w:val="99"/>
    <w:rsid w:val="000A5255"/>
  </w:style>
  <w:style w:type="table" w:styleId="TableGrid">
    <w:name w:val="Table Grid"/>
    <w:basedOn w:val="TableNormal"/>
    <w:uiPriority w:val="59"/>
    <w:rsid w:val="000A525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448CF"/>
    <w:pPr>
      <w:ind w:left="720"/>
      <w:contextualSpacing/>
    </w:pPr>
  </w:style>
</w:styles>
</file>

<file path=word/webSettings.xml><?xml version="1.0" encoding="utf-8"?>
<w:webSettings xmlns:r="http://schemas.openxmlformats.org/officeDocument/2006/relationships" xmlns:w="http://schemas.openxmlformats.org/wordprocessingml/2006/main">
  <w:divs>
    <w:div w:id="701130766">
      <w:bodyDiv w:val="1"/>
      <w:marLeft w:val="0"/>
      <w:marRight w:val="0"/>
      <w:marTop w:val="0"/>
      <w:marBottom w:val="0"/>
      <w:divBdr>
        <w:top w:val="none" w:sz="0" w:space="0" w:color="auto"/>
        <w:left w:val="none" w:sz="0" w:space="0" w:color="auto"/>
        <w:bottom w:val="none" w:sz="0" w:space="0" w:color="auto"/>
        <w:right w:val="none" w:sz="0" w:space="0" w:color="auto"/>
      </w:divBdr>
      <w:divsChild>
        <w:div w:id="826677774">
          <w:marLeft w:val="3900"/>
          <w:marRight w:val="225"/>
          <w:marTop w:val="0"/>
          <w:marBottom w:val="225"/>
          <w:divBdr>
            <w:top w:val="none" w:sz="0" w:space="0" w:color="auto"/>
            <w:left w:val="none" w:sz="0" w:space="0" w:color="auto"/>
            <w:bottom w:val="none" w:sz="0" w:space="0" w:color="auto"/>
            <w:right w:val="none" w:sz="0" w:space="0" w:color="auto"/>
          </w:divBdr>
          <w:divsChild>
            <w:div w:id="1817138356">
              <w:marLeft w:val="0"/>
              <w:marRight w:val="0"/>
              <w:marTop w:val="0"/>
              <w:marBottom w:val="0"/>
              <w:divBdr>
                <w:top w:val="none" w:sz="0" w:space="0" w:color="auto"/>
                <w:left w:val="none" w:sz="0" w:space="0" w:color="auto"/>
                <w:bottom w:val="none" w:sz="0" w:space="0" w:color="auto"/>
                <w:right w:val="none" w:sz="0" w:space="0" w:color="auto"/>
              </w:divBdr>
              <w:divsChild>
                <w:div w:id="1581480988">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025253553">
      <w:bodyDiv w:val="1"/>
      <w:marLeft w:val="0"/>
      <w:marRight w:val="0"/>
      <w:marTop w:val="0"/>
      <w:marBottom w:val="0"/>
      <w:divBdr>
        <w:top w:val="none" w:sz="0" w:space="0" w:color="auto"/>
        <w:left w:val="none" w:sz="0" w:space="0" w:color="auto"/>
        <w:bottom w:val="none" w:sz="0" w:space="0" w:color="auto"/>
        <w:right w:val="none" w:sz="0" w:space="0" w:color="auto"/>
      </w:divBdr>
      <w:divsChild>
        <w:div w:id="1095513340">
          <w:marLeft w:val="3900"/>
          <w:marRight w:val="225"/>
          <w:marTop w:val="0"/>
          <w:marBottom w:val="225"/>
          <w:divBdr>
            <w:top w:val="none" w:sz="0" w:space="0" w:color="auto"/>
            <w:left w:val="none" w:sz="0" w:space="0" w:color="auto"/>
            <w:bottom w:val="none" w:sz="0" w:space="0" w:color="auto"/>
            <w:right w:val="none" w:sz="0" w:space="0" w:color="auto"/>
          </w:divBdr>
          <w:divsChild>
            <w:div w:id="1979990372">
              <w:marLeft w:val="0"/>
              <w:marRight w:val="0"/>
              <w:marTop w:val="0"/>
              <w:marBottom w:val="0"/>
              <w:divBdr>
                <w:top w:val="none" w:sz="0" w:space="0" w:color="auto"/>
                <w:left w:val="none" w:sz="0" w:space="0" w:color="auto"/>
                <w:bottom w:val="none" w:sz="0" w:space="0" w:color="auto"/>
                <w:right w:val="none" w:sz="0" w:space="0" w:color="auto"/>
              </w:divBdr>
              <w:divsChild>
                <w:div w:id="843713939">
                  <w:marLeft w:val="600"/>
                  <w:marRight w:val="0"/>
                  <w:marTop w:val="240"/>
                  <w:marBottom w:val="240"/>
                  <w:divBdr>
                    <w:top w:val="none" w:sz="0" w:space="0" w:color="auto"/>
                    <w:left w:val="none" w:sz="0" w:space="0" w:color="auto"/>
                    <w:bottom w:val="none" w:sz="0" w:space="0" w:color="auto"/>
                    <w:right w:val="none" w:sz="0" w:space="0" w:color="auto"/>
                  </w:divBdr>
                </w:div>
                <w:div w:id="184562286">
                  <w:marLeft w:val="600"/>
                  <w:marRight w:val="0"/>
                  <w:marTop w:val="240"/>
                  <w:marBottom w:val="240"/>
                  <w:divBdr>
                    <w:top w:val="none" w:sz="0" w:space="0" w:color="auto"/>
                    <w:left w:val="none" w:sz="0" w:space="0" w:color="auto"/>
                    <w:bottom w:val="none" w:sz="0" w:space="0" w:color="auto"/>
                    <w:right w:val="none" w:sz="0" w:space="0" w:color="auto"/>
                  </w:divBdr>
                  <w:divsChild>
                    <w:div w:id="1022516308">
                      <w:marLeft w:val="600"/>
                      <w:marRight w:val="0"/>
                      <w:marTop w:val="240"/>
                      <w:marBottom w:val="240"/>
                      <w:divBdr>
                        <w:top w:val="none" w:sz="0" w:space="0" w:color="auto"/>
                        <w:left w:val="none" w:sz="0" w:space="0" w:color="auto"/>
                        <w:bottom w:val="none" w:sz="0" w:space="0" w:color="auto"/>
                        <w:right w:val="none" w:sz="0" w:space="0" w:color="auto"/>
                      </w:divBdr>
                    </w:div>
                    <w:div w:id="682899363">
                      <w:marLeft w:val="600"/>
                      <w:marRight w:val="0"/>
                      <w:marTop w:val="240"/>
                      <w:marBottom w:val="240"/>
                      <w:divBdr>
                        <w:top w:val="none" w:sz="0" w:space="0" w:color="auto"/>
                        <w:left w:val="none" w:sz="0" w:space="0" w:color="auto"/>
                        <w:bottom w:val="none" w:sz="0" w:space="0" w:color="auto"/>
                        <w:right w:val="none" w:sz="0" w:space="0" w:color="auto"/>
                      </w:divBdr>
                    </w:div>
                  </w:divsChild>
                </w:div>
                <w:div w:id="717633053">
                  <w:marLeft w:val="600"/>
                  <w:marRight w:val="0"/>
                  <w:marTop w:val="240"/>
                  <w:marBottom w:val="240"/>
                  <w:divBdr>
                    <w:top w:val="none" w:sz="0" w:space="0" w:color="auto"/>
                    <w:left w:val="none" w:sz="0" w:space="0" w:color="auto"/>
                    <w:bottom w:val="none" w:sz="0" w:space="0" w:color="auto"/>
                    <w:right w:val="none" w:sz="0" w:space="0" w:color="auto"/>
                  </w:divBdr>
                </w:div>
                <w:div w:id="1020355571">
                  <w:marLeft w:val="600"/>
                  <w:marRight w:val="0"/>
                  <w:marTop w:val="240"/>
                  <w:marBottom w:val="240"/>
                  <w:divBdr>
                    <w:top w:val="none" w:sz="0" w:space="0" w:color="auto"/>
                    <w:left w:val="none" w:sz="0" w:space="0" w:color="auto"/>
                    <w:bottom w:val="none" w:sz="0" w:space="0" w:color="auto"/>
                    <w:right w:val="none" w:sz="0" w:space="0" w:color="auto"/>
                  </w:divBdr>
                  <w:divsChild>
                    <w:div w:id="165413032">
                      <w:marLeft w:val="600"/>
                      <w:marRight w:val="0"/>
                      <w:marTop w:val="240"/>
                      <w:marBottom w:val="240"/>
                      <w:divBdr>
                        <w:top w:val="none" w:sz="0" w:space="0" w:color="auto"/>
                        <w:left w:val="none" w:sz="0" w:space="0" w:color="auto"/>
                        <w:bottom w:val="none" w:sz="0" w:space="0" w:color="auto"/>
                        <w:right w:val="none" w:sz="0" w:space="0" w:color="auto"/>
                      </w:divBdr>
                    </w:div>
                    <w:div w:id="1000931620">
                      <w:marLeft w:val="600"/>
                      <w:marRight w:val="0"/>
                      <w:marTop w:val="240"/>
                      <w:marBottom w:val="240"/>
                      <w:divBdr>
                        <w:top w:val="none" w:sz="0" w:space="0" w:color="auto"/>
                        <w:left w:val="none" w:sz="0" w:space="0" w:color="auto"/>
                        <w:bottom w:val="none" w:sz="0" w:space="0" w:color="auto"/>
                        <w:right w:val="none" w:sz="0" w:space="0" w:color="auto"/>
                      </w:divBdr>
                    </w:div>
                    <w:div w:id="1110012557">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296719001">
      <w:bodyDiv w:val="1"/>
      <w:marLeft w:val="0"/>
      <w:marRight w:val="0"/>
      <w:marTop w:val="0"/>
      <w:marBottom w:val="0"/>
      <w:divBdr>
        <w:top w:val="none" w:sz="0" w:space="0" w:color="auto"/>
        <w:left w:val="none" w:sz="0" w:space="0" w:color="auto"/>
        <w:bottom w:val="none" w:sz="0" w:space="0" w:color="auto"/>
        <w:right w:val="none" w:sz="0" w:space="0" w:color="auto"/>
      </w:divBdr>
      <w:divsChild>
        <w:div w:id="1197084341">
          <w:marLeft w:val="3900"/>
          <w:marRight w:val="225"/>
          <w:marTop w:val="0"/>
          <w:marBottom w:val="225"/>
          <w:divBdr>
            <w:top w:val="none" w:sz="0" w:space="0" w:color="auto"/>
            <w:left w:val="none" w:sz="0" w:space="0" w:color="auto"/>
            <w:bottom w:val="none" w:sz="0" w:space="0" w:color="auto"/>
            <w:right w:val="none" w:sz="0" w:space="0" w:color="auto"/>
          </w:divBdr>
          <w:divsChild>
            <w:div w:id="1465344349">
              <w:marLeft w:val="0"/>
              <w:marRight w:val="0"/>
              <w:marTop w:val="0"/>
              <w:marBottom w:val="0"/>
              <w:divBdr>
                <w:top w:val="none" w:sz="0" w:space="0" w:color="auto"/>
                <w:left w:val="none" w:sz="0" w:space="0" w:color="auto"/>
                <w:bottom w:val="none" w:sz="0" w:space="0" w:color="auto"/>
                <w:right w:val="none" w:sz="0" w:space="0" w:color="auto"/>
              </w:divBdr>
              <w:divsChild>
                <w:div w:id="527109266">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351031157">
      <w:bodyDiv w:val="1"/>
      <w:marLeft w:val="0"/>
      <w:marRight w:val="0"/>
      <w:marTop w:val="0"/>
      <w:marBottom w:val="0"/>
      <w:divBdr>
        <w:top w:val="none" w:sz="0" w:space="0" w:color="auto"/>
        <w:left w:val="none" w:sz="0" w:space="0" w:color="auto"/>
        <w:bottom w:val="none" w:sz="0" w:space="0" w:color="auto"/>
        <w:right w:val="none" w:sz="0" w:space="0" w:color="auto"/>
      </w:divBdr>
      <w:divsChild>
        <w:div w:id="1650013360">
          <w:marLeft w:val="3900"/>
          <w:marRight w:val="225"/>
          <w:marTop w:val="0"/>
          <w:marBottom w:val="225"/>
          <w:divBdr>
            <w:top w:val="none" w:sz="0" w:space="0" w:color="auto"/>
            <w:left w:val="none" w:sz="0" w:space="0" w:color="auto"/>
            <w:bottom w:val="none" w:sz="0" w:space="0" w:color="auto"/>
            <w:right w:val="none" w:sz="0" w:space="0" w:color="auto"/>
          </w:divBdr>
          <w:divsChild>
            <w:div w:id="1080323119">
              <w:marLeft w:val="0"/>
              <w:marRight w:val="0"/>
              <w:marTop w:val="0"/>
              <w:marBottom w:val="0"/>
              <w:divBdr>
                <w:top w:val="none" w:sz="0" w:space="0" w:color="auto"/>
                <w:left w:val="none" w:sz="0" w:space="0" w:color="auto"/>
                <w:bottom w:val="none" w:sz="0" w:space="0" w:color="auto"/>
                <w:right w:val="none" w:sz="0" w:space="0" w:color="auto"/>
              </w:divBdr>
              <w:divsChild>
                <w:div w:id="1806240083">
                  <w:marLeft w:val="600"/>
                  <w:marRight w:val="0"/>
                  <w:marTop w:val="240"/>
                  <w:marBottom w:val="240"/>
                  <w:divBdr>
                    <w:top w:val="none" w:sz="0" w:space="0" w:color="auto"/>
                    <w:left w:val="none" w:sz="0" w:space="0" w:color="auto"/>
                    <w:bottom w:val="none" w:sz="0" w:space="0" w:color="auto"/>
                    <w:right w:val="none" w:sz="0" w:space="0" w:color="auto"/>
                  </w:divBdr>
                  <w:divsChild>
                    <w:div w:id="1994944341">
                      <w:marLeft w:val="600"/>
                      <w:marRight w:val="0"/>
                      <w:marTop w:val="240"/>
                      <w:marBottom w:val="240"/>
                      <w:divBdr>
                        <w:top w:val="none" w:sz="0" w:space="0" w:color="auto"/>
                        <w:left w:val="none" w:sz="0" w:space="0" w:color="auto"/>
                        <w:bottom w:val="none" w:sz="0" w:space="0" w:color="auto"/>
                        <w:right w:val="none" w:sz="0" w:space="0" w:color="auto"/>
                      </w:divBdr>
                    </w:div>
                    <w:div w:id="1055004204">
                      <w:marLeft w:val="600"/>
                      <w:marRight w:val="0"/>
                      <w:marTop w:val="240"/>
                      <w:marBottom w:val="240"/>
                      <w:divBdr>
                        <w:top w:val="none" w:sz="0" w:space="0" w:color="auto"/>
                        <w:left w:val="none" w:sz="0" w:space="0" w:color="auto"/>
                        <w:bottom w:val="none" w:sz="0" w:space="0" w:color="auto"/>
                        <w:right w:val="none" w:sz="0" w:space="0" w:color="auto"/>
                      </w:divBdr>
                    </w:div>
                    <w:div w:id="786237707">
                      <w:marLeft w:val="600"/>
                      <w:marRight w:val="0"/>
                      <w:marTop w:val="240"/>
                      <w:marBottom w:val="240"/>
                      <w:divBdr>
                        <w:top w:val="none" w:sz="0" w:space="0" w:color="auto"/>
                        <w:left w:val="none" w:sz="0" w:space="0" w:color="auto"/>
                        <w:bottom w:val="none" w:sz="0" w:space="0" w:color="auto"/>
                        <w:right w:val="none" w:sz="0" w:space="0" w:color="auto"/>
                      </w:divBdr>
                    </w:div>
                    <w:div w:id="91559349">
                      <w:marLeft w:val="600"/>
                      <w:marRight w:val="0"/>
                      <w:marTop w:val="240"/>
                      <w:marBottom w:val="240"/>
                      <w:divBdr>
                        <w:top w:val="none" w:sz="0" w:space="0" w:color="auto"/>
                        <w:left w:val="none" w:sz="0" w:space="0" w:color="auto"/>
                        <w:bottom w:val="none" w:sz="0" w:space="0" w:color="auto"/>
                        <w:right w:val="none" w:sz="0" w:space="0" w:color="auto"/>
                      </w:divBdr>
                    </w:div>
                    <w:div w:id="1135831184">
                      <w:marLeft w:val="600"/>
                      <w:marRight w:val="0"/>
                      <w:marTop w:val="240"/>
                      <w:marBottom w:val="240"/>
                      <w:divBdr>
                        <w:top w:val="none" w:sz="0" w:space="0" w:color="auto"/>
                        <w:left w:val="none" w:sz="0" w:space="0" w:color="auto"/>
                        <w:bottom w:val="none" w:sz="0" w:space="0" w:color="auto"/>
                        <w:right w:val="none" w:sz="0" w:space="0" w:color="auto"/>
                      </w:divBdr>
                    </w:div>
                    <w:div w:id="182324474">
                      <w:marLeft w:val="600"/>
                      <w:marRight w:val="0"/>
                      <w:marTop w:val="240"/>
                      <w:marBottom w:val="240"/>
                      <w:divBdr>
                        <w:top w:val="none" w:sz="0" w:space="0" w:color="auto"/>
                        <w:left w:val="none" w:sz="0" w:space="0" w:color="auto"/>
                        <w:bottom w:val="none" w:sz="0" w:space="0" w:color="auto"/>
                        <w:right w:val="none" w:sz="0" w:space="0" w:color="auto"/>
                      </w:divBdr>
                    </w:div>
                    <w:div w:id="1415932524">
                      <w:marLeft w:val="600"/>
                      <w:marRight w:val="0"/>
                      <w:marTop w:val="240"/>
                      <w:marBottom w:val="240"/>
                      <w:divBdr>
                        <w:top w:val="none" w:sz="0" w:space="0" w:color="auto"/>
                        <w:left w:val="none" w:sz="0" w:space="0" w:color="auto"/>
                        <w:bottom w:val="none" w:sz="0" w:space="0" w:color="auto"/>
                        <w:right w:val="none" w:sz="0" w:space="0" w:color="auto"/>
                      </w:divBdr>
                    </w:div>
                    <w:div w:id="1665353011">
                      <w:marLeft w:val="600"/>
                      <w:marRight w:val="0"/>
                      <w:marTop w:val="240"/>
                      <w:marBottom w:val="240"/>
                      <w:divBdr>
                        <w:top w:val="none" w:sz="0" w:space="0" w:color="auto"/>
                        <w:left w:val="none" w:sz="0" w:space="0" w:color="auto"/>
                        <w:bottom w:val="none" w:sz="0" w:space="0" w:color="auto"/>
                        <w:right w:val="none" w:sz="0" w:space="0" w:color="auto"/>
                      </w:divBdr>
                    </w:div>
                    <w:div w:id="1414543309">
                      <w:marLeft w:val="600"/>
                      <w:marRight w:val="0"/>
                      <w:marTop w:val="240"/>
                      <w:marBottom w:val="240"/>
                      <w:divBdr>
                        <w:top w:val="none" w:sz="0" w:space="0" w:color="auto"/>
                        <w:left w:val="none" w:sz="0" w:space="0" w:color="auto"/>
                        <w:bottom w:val="none" w:sz="0" w:space="0" w:color="auto"/>
                        <w:right w:val="none" w:sz="0" w:space="0" w:color="auto"/>
                      </w:divBdr>
                    </w:div>
                    <w:div w:id="1118330998">
                      <w:marLeft w:val="600"/>
                      <w:marRight w:val="0"/>
                      <w:marTop w:val="240"/>
                      <w:marBottom w:val="240"/>
                      <w:divBdr>
                        <w:top w:val="none" w:sz="0" w:space="0" w:color="auto"/>
                        <w:left w:val="none" w:sz="0" w:space="0" w:color="auto"/>
                        <w:bottom w:val="none" w:sz="0" w:space="0" w:color="auto"/>
                        <w:right w:val="none" w:sz="0" w:space="0" w:color="auto"/>
                      </w:divBdr>
                    </w:div>
                    <w:div w:id="667754691">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763796638">
      <w:bodyDiv w:val="1"/>
      <w:marLeft w:val="0"/>
      <w:marRight w:val="0"/>
      <w:marTop w:val="0"/>
      <w:marBottom w:val="0"/>
      <w:divBdr>
        <w:top w:val="none" w:sz="0" w:space="0" w:color="auto"/>
        <w:left w:val="none" w:sz="0" w:space="0" w:color="auto"/>
        <w:bottom w:val="none" w:sz="0" w:space="0" w:color="auto"/>
        <w:right w:val="none" w:sz="0" w:space="0" w:color="auto"/>
      </w:divBdr>
      <w:divsChild>
        <w:div w:id="1781794973">
          <w:marLeft w:val="3900"/>
          <w:marRight w:val="225"/>
          <w:marTop w:val="0"/>
          <w:marBottom w:val="225"/>
          <w:divBdr>
            <w:top w:val="none" w:sz="0" w:space="0" w:color="auto"/>
            <w:left w:val="none" w:sz="0" w:space="0" w:color="auto"/>
            <w:bottom w:val="none" w:sz="0" w:space="0" w:color="auto"/>
            <w:right w:val="none" w:sz="0" w:space="0" w:color="auto"/>
          </w:divBdr>
          <w:divsChild>
            <w:div w:id="1076048485">
              <w:marLeft w:val="0"/>
              <w:marRight w:val="0"/>
              <w:marTop w:val="0"/>
              <w:marBottom w:val="0"/>
              <w:divBdr>
                <w:top w:val="none" w:sz="0" w:space="0" w:color="auto"/>
                <w:left w:val="none" w:sz="0" w:space="0" w:color="auto"/>
                <w:bottom w:val="none" w:sz="0" w:space="0" w:color="auto"/>
                <w:right w:val="none" w:sz="0" w:space="0" w:color="auto"/>
              </w:divBdr>
              <w:divsChild>
                <w:div w:id="932937426">
                  <w:marLeft w:val="600"/>
                  <w:marRight w:val="0"/>
                  <w:marTop w:val="240"/>
                  <w:marBottom w:val="240"/>
                  <w:divBdr>
                    <w:top w:val="none" w:sz="0" w:space="0" w:color="auto"/>
                    <w:left w:val="none" w:sz="0" w:space="0" w:color="auto"/>
                    <w:bottom w:val="none" w:sz="0" w:space="0" w:color="auto"/>
                    <w:right w:val="none" w:sz="0" w:space="0" w:color="auto"/>
                  </w:divBdr>
                </w:div>
                <w:div w:id="1517689736">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rulebook.sgx.com/en/display/display.html?rbid=3271&amp;element_id=63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2666</Words>
  <Characters>15198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17829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Wai Ling Lum</dc:creator>
  <cp:lastModifiedBy>u6025808</cp:lastModifiedBy>
  <cp:revision>2</cp:revision>
  <dcterms:created xsi:type="dcterms:W3CDTF">2015-12-21T10:17:00Z</dcterms:created>
  <dcterms:modified xsi:type="dcterms:W3CDTF">2015-12-21T10:17:00Z</dcterms:modified>
</cp:coreProperties>
</file>